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1A" w:rsidRPr="009E221A" w:rsidRDefault="009E221A" w:rsidP="009E221A">
      <w:pPr>
        <w:spacing w:line="240" w:lineRule="atLeast"/>
        <w:jc w:val="center"/>
        <w:rPr>
          <w:b/>
          <w:sz w:val="28"/>
          <w:szCs w:val="28"/>
        </w:rPr>
      </w:pPr>
      <w:bookmarkStart w:id="0" w:name="_GoBack"/>
      <w:bookmarkEnd w:id="0"/>
      <w:r w:rsidRPr="009E221A">
        <w:rPr>
          <w:b/>
          <w:sz w:val="28"/>
          <w:szCs w:val="28"/>
        </w:rPr>
        <w:t xml:space="preserve">Паспорт подпрограммы 8  </w:t>
      </w:r>
    </w:p>
    <w:p w:rsidR="009E221A" w:rsidRPr="009E221A" w:rsidRDefault="009E221A" w:rsidP="009E221A">
      <w:pPr>
        <w:spacing w:line="240" w:lineRule="atLeast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9E221A" w:rsidRDefault="009E221A" w:rsidP="009E221A">
      <w:pPr>
        <w:spacing w:line="240" w:lineRule="atLeast"/>
        <w:jc w:val="center"/>
        <w:rPr>
          <w:b/>
          <w:sz w:val="32"/>
          <w:szCs w:val="32"/>
        </w:rPr>
      </w:pPr>
    </w:p>
    <w:tbl>
      <w:tblPr>
        <w:tblW w:w="15701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4"/>
        <w:gridCol w:w="2127"/>
        <w:gridCol w:w="1425"/>
        <w:gridCol w:w="1293"/>
        <w:gridCol w:w="1393"/>
        <w:gridCol w:w="1559"/>
        <w:gridCol w:w="1134"/>
        <w:gridCol w:w="1134"/>
      </w:tblGrid>
      <w:tr w:rsidR="009E221A" w:rsidRPr="00096A39" w:rsidTr="00F87A71">
        <w:trPr>
          <w:trHeight w:val="57"/>
        </w:trPr>
        <w:tc>
          <w:tcPr>
            <w:tcW w:w="2802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Муниципальный заказчик подпрограммы </w:t>
            </w:r>
          </w:p>
        </w:tc>
        <w:tc>
          <w:tcPr>
            <w:tcW w:w="12899" w:type="dxa"/>
            <w:gridSpan w:val="8"/>
          </w:tcPr>
          <w:p w:rsidR="009E221A" w:rsidRPr="00367CC5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Отдел эко</w:t>
            </w:r>
            <w:r>
              <w:rPr>
                <w:rFonts w:eastAsia="Calibri"/>
                <w:lang w:eastAsia="en-US"/>
              </w:rPr>
              <w:t xml:space="preserve">номического развития и муниципальных программ управления экономического развития и проектной деятельности 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 том числе по годам: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127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6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Расходы  (тыс. рублей)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221A" w:rsidRPr="00096A39" w:rsidTr="00F87A71">
        <w:trPr>
          <w:trHeight w:val="232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25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021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  <w:r w:rsidRPr="00096A39">
              <w:rPr>
                <w:rFonts w:eastAsia="Calibri"/>
                <w:lang w:eastAsia="en-US"/>
              </w:rPr>
              <w:t xml:space="preserve"> год 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96A39">
              <w:rPr>
                <w:rFonts w:eastAsia="Calibri"/>
              </w:rPr>
              <w:t>Итого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restart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Администрация  городского округа </w:t>
            </w:r>
            <w:r>
              <w:rPr>
                <w:rFonts w:eastAsia="Calibri"/>
                <w:lang w:eastAsia="en-US"/>
              </w:rPr>
              <w:t>Истра</w:t>
            </w:r>
            <w:r w:rsidRPr="00096A39">
              <w:rPr>
                <w:rFonts w:eastAsia="Calibri"/>
                <w:lang w:eastAsia="en-US"/>
              </w:rPr>
              <w:t xml:space="preserve"> </w:t>
            </w:r>
            <w:r w:rsidRPr="00096A39">
              <w:rPr>
                <w:rFonts w:eastAsia="Batang"/>
              </w:rPr>
              <w:t>Московской области</w:t>
            </w: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Всего: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Средства федерального бюджета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Средства бюджета Московской</w:t>
            </w:r>
          </w:p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096A39">
              <w:rPr>
                <w:rFonts w:eastAsia="Calibri"/>
                <w:lang w:eastAsia="en-US"/>
              </w:rPr>
              <w:t>бласти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57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  <w:tr w:rsidR="009E221A" w:rsidRPr="00096A39" w:rsidTr="00F87A71">
        <w:trPr>
          <w:trHeight w:val="714"/>
        </w:trPr>
        <w:tc>
          <w:tcPr>
            <w:tcW w:w="2802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lang w:eastAsia="en-US"/>
              </w:rPr>
              <w:t>Истра</w:t>
            </w:r>
          </w:p>
        </w:tc>
        <w:tc>
          <w:tcPr>
            <w:tcW w:w="1425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93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96A39" w:rsidRDefault="009E221A" w:rsidP="00F8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96A39">
              <w:rPr>
                <w:rFonts w:eastAsia="Calibri"/>
                <w:lang w:eastAsia="en-US"/>
              </w:rPr>
              <w:t>0,0</w:t>
            </w:r>
          </w:p>
        </w:tc>
      </w:tr>
    </w:tbl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P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9E221A">
        <w:rPr>
          <w:rFonts w:eastAsia="Calibri"/>
          <w:b/>
          <w:sz w:val="28"/>
          <w:szCs w:val="28"/>
          <w:lang w:eastAsia="en-US"/>
        </w:rPr>
        <w:t>Х</w:t>
      </w:r>
      <w:proofErr w:type="spellStart"/>
      <w:r w:rsidRPr="009E221A">
        <w:rPr>
          <w:rFonts w:eastAsia="Calibri"/>
          <w:b/>
          <w:sz w:val="28"/>
          <w:szCs w:val="28"/>
          <w:lang w:val="x-none" w:eastAsia="en-US"/>
        </w:rPr>
        <w:t>арактерис</w:t>
      </w:r>
      <w:r w:rsidRPr="009E221A">
        <w:rPr>
          <w:rFonts w:eastAsia="Calibri"/>
          <w:b/>
          <w:sz w:val="28"/>
          <w:szCs w:val="28"/>
          <w:lang w:eastAsia="en-US"/>
        </w:rPr>
        <w:t>тика</w:t>
      </w:r>
      <w:proofErr w:type="spellEnd"/>
      <w:r w:rsidRPr="009E221A">
        <w:rPr>
          <w:rFonts w:eastAsia="Calibri"/>
          <w:b/>
          <w:sz w:val="28"/>
          <w:szCs w:val="28"/>
          <w:lang w:val="x-none" w:eastAsia="en-US"/>
        </w:rPr>
        <w:t xml:space="preserve"> проблем</w:t>
      </w:r>
      <w:r w:rsidRPr="009E221A">
        <w:rPr>
          <w:rFonts w:eastAsia="Calibri"/>
          <w:b/>
          <w:sz w:val="28"/>
          <w:szCs w:val="28"/>
          <w:lang w:eastAsia="en-US"/>
        </w:rPr>
        <w:t xml:space="preserve"> решаемых посредством мероприятий Подпрограммы </w:t>
      </w:r>
      <w:r w:rsidR="007E152F">
        <w:rPr>
          <w:rFonts w:eastAsia="Calibri"/>
          <w:b/>
          <w:sz w:val="28"/>
          <w:szCs w:val="28"/>
          <w:lang w:eastAsia="en-US"/>
        </w:rPr>
        <w:t>8</w:t>
      </w:r>
    </w:p>
    <w:p w:rsidR="009E221A" w:rsidRP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9E221A">
        <w:rPr>
          <w:rFonts w:eastAsia="Calibri"/>
          <w:b/>
          <w:sz w:val="28"/>
          <w:szCs w:val="28"/>
          <w:lang w:eastAsia="en-US"/>
        </w:rPr>
        <w:t xml:space="preserve"> «Развитие трудовых ресурсов и охраны труда»</w:t>
      </w:r>
    </w:p>
    <w:p w:rsidR="009E221A" w:rsidRDefault="009E221A" w:rsidP="009E221A">
      <w:pPr>
        <w:widowControl w:val="0"/>
        <w:autoSpaceDE w:val="0"/>
        <w:autoSpaceDN w:val="0"/>
        <w:ind w:firstLine="540"/>
        <w:jc w:val="center"/>
        <w:rPr>
          <w:rFonts w:eastAsia="Calibri"/>
          <w:b/>
          <w:lang w:eastAsia="en-US"/>
        </w:rPr>
      </w:pP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Важнейшим фактором,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Реализация мероприятий в рамках подпрограммы позволит создать условия для снижения в городском округе </w:t>
      </w:r>
      <w:r>
        <w:t>Истра</w:t>
      </w:r>
      <w:r w:rsidRPr="00735A77">
        <w:t xml:space="preserve">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lastRenderedPageBreak/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К другим причинам относятся: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нарушение Правил дорожного движения;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неприменение средств индивидуальной защиты;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- нарушение работником трудового распорядка и дисциплины труда либо нарушение технологического процесса.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</w:t>
      </w:r>
      <w:r>
        <w:t xml:space="preserve">специальной </w:t>
      </w:r>
      <w:r w:rsidRPr="00735A77">
        <w:t xml:space="preserve">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</w:t>
      </w:r>
      <w:r>
        <w:t xml:space="preserve">специальная </w:t>
      </w:r>
      <w:r w:rsidRPr="00735A77">
        <w:t>оценка условий труда.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</w:t>
      </w:r>
      <w:r>
        <w:t>Истра</w:t>
      </w:r>
      <w:r w:rsidRPr="00735A77">
        <w:t>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 xml:space="preserve"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</w:t>
      </w:r>
      <w:r>
        <w:t>Истра</w:t>
      </w:r>
      <w:r w:rsidRPr="00735A77">
        <w:t xml:space="preserve"> Московской области, снижение уровня производственного травматизма.</w:t>
      </w:r>
    </w:p>
    <w:p w:rsidR="009E221A" w:rsidRPr="00735A77" w:rsidRDefault="009E221A" w:rsidP="009E221A">
      <w:pPr>
        <w:widowControl w:val="0"/>
        <w:autoSpaceDE w:val="0"/>
        <w:autoSpaceDN w:val="0"/>
        <w:ind w:firstLine="540"/>
        <w:jc w:val="both"/>
      </w:pPr>
      <w:r w:rsidRPr="00735A77"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</w:t>
      </w:r>
      <w:r>
        <w:t>Развитие трудовых ресурсов и охраны труда»</w:t>
      </w:r>
      <w:r w:rsidRPr="00735A77">
        <w:t>.</w:t>
      </w:r>
    </w:p>
    <w:p w:rsidR="009E221A" w:rsidRPr="00735A77" w:rsidRDefault="009E221A" w:rsidP="009E221A">
      <w:pPr>
        <w:rPr>
          <w:rFonts w:eastAsia="Calibri"/>
          <w:lang w:eastAsia="en-US"/>
        </w:rPr>
      </w:pPr>
    </w:p>
    <w:p w:rsidR="009E221A" w:rsidRPr="00332E79" w:rsidRDefault="009E221A" w:rsidP="009E22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 Краткое описание</w:t>
      </w:r>
    </w:p>
    <w:p w:rsidR="009E221A" w:rsidRDefault="009E221A" w:rsidP="009E2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E06A8">
        <w:rPr>
          <w:rFonts w:ascii="Times New Roman" w:hAnsi="Times New Roman" w:cs="Times New Roman"/>
          <w:sz w:val="24"/>
          <w:szCs w:val="24"/>
        </w:rPr>
        <w:t xml:space="preserve"> </w:t>
      </w:r>
      <w:r w:rsidRPr="00332E79">
        <w:rPr>
          <w:rFonts w:ascii="Times New Roman" w:hAnsi="Times New Roman" w:cs="Times New Roman"/>
          <w:sz w:val="24"/>
          <w:szCs w:val="24"/>
        </w:rPr>
        <w:t>"Развитие трудовых ресурсов и охраны труда" осуществляется 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:rsidR="009E221A" w:rsidRPr="002251EF" w:rsidRDefault="009E221A" w:rsidP="009E2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E79">
        <w:rPr>
          <w:rFonts w:ascii="Times New Roman" w:hAnsi="Times New Roman" w:cs="Times New Roman"/>
          <w:sz w:val="24"/>
          <w:szCs w:val="24"/>
        </w:rPr>
        <w:t xml:space="preserve">Реализация мероприятия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32E79">
        <w:rPr>
          <w:rFonts w:ascii="Times New Roman" w:hAnsi="Times New Roman" w:cs="Times New Roman"/>
          <w:sz w:val="24"/>
          <w:szCs w:val="24"/>
        </w:rPr>
        <w:t xml:space="preserve"> направлена на осуществление государственной политики в сфере охраны труда, повышение профессионального уровня специалистов в области управления, организацию работы по вопросам задолженности по выплате заработной платы, разработку и заключение трехстороннего соглашения между сторонами социального партнерства по вопросам развития социально-трудовой сферы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332E79">
        <w:rPr>
          <w:rFonts w:ascii="Times New Roman" w:hAnsi="Times New Roman" w:cs="Times New Roman"/>
          <w:sz w:val="24"/>
          <w:szCs w:val="24"/>
        </w:rPr>
        <w:t>.</w:t>
      </w:r>
    </w:p>
    <w:p w:rsidR="009E221A" w:rsidRDefault="009E221A" w:rsidP="009E221A">
      <w:pPr>
        <w:rPr>
          <w:sz w:val="28"/>
          <w:szCs w:val="28"/>
        </w:rPr>
      </w:pPr>
    </w:p>
    <w:p w:rsidR="009E221A" w:rsidRDefault="009E221A" w:rsidP="009E221A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 xml:space="preserve">Перечень мероприятий  подпрограммы 8 </w:t>
      </w:r>
    </w:p>
    <w:p w:rsidR="009E221A" w:rsidRPr="009E221A" w:rsidRDefault="009E221A" w:rsidP="009E221A">
      <w:pPr>
        <w:widowControl w:val="0"/>
        <w:autoSpaceDE w:val="0"/>
        <w:autoSpaceDN w:val="0"/>
        <w:adjustRightInd w:val="0"/>
        <w:ind w:left="90"/>
        <w:jc w:val="center"/>
        <w:rPr>
          <w:b/>
          <w:sz w:val="28"/>
          <w:szCs w:val="28"/>
        </w:rPr>
      </w:pPr>
      <w:r w:rsidRPr="009E221A">
        <w:rPr>
          <w:b/>
          <w:sz w:val="28"/>
          <w:szCs w:val="28"/>
        </w:rPr>
        <w:t>«Развитие трудовых ресурсов и охраны труда»</w:t>
      </w:r>
    </w:p>
    <w:p w:rsidR="009E221A" w:rsidRDefault="009E221A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8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53"/>
        <w:gridCol w:w="1263"/>
        <w:gridCol w:w="13"/>
        <w:gridCol w:w="1558"/>
        <w:gridCol w:w="1558"/>
        <w:gridCol w:w="856"/>
        <w:gridCol w:w="1140"/>
        <w:gridCol w:w="1134"/>
        <w:gridCol w:w="995"/>
        <w:gridCol w:w="993"/>
        <w:gridCol w:w="989"/>
        <w:gridCol w:w="1214"/>
        <w:gridCol w:w="1134"/>
      </w:tblGrid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Мероприяти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подпрограммы</w:t>
            </w:r>
          </w:p>
        </w:tc>
        <w:tc>
          <w:tcPr>
            <w:tcW w:w="1263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Сроки ис</w:t>
            </w:r>
            <w:r>
              <w:rPr>
                <w:rFonts w:eastAsia="Calibri"/>
                <w:sz w:val="18"/>
                <w:szCs w:val="18"/>
                <w:lang w:eastAsia="en-US"/>
              </w:rPr>
              <w:t>полнения мероприятия</w:t>
            </w:r>
          </w:p>
        </w:tc>
        <w:tc>
          <w:tcPr>
            <w:tcW w:w="1571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558" w:type="dxa"/>
            <w:vMerge w:val="restart"/>
          </w:tcPr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Объем</w:t>
            </w:r>
          </w:p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 xml:space="preserve">финансирования мероприятия в году, предшествующему году начала реализации муниципальной программы </w:t>
            </w:r>
          </w:p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8333F">
              <w:rPr>
                <w:rFonts w:eastAsia="Calibri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856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Всего,         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br/>
              <w:t>(тыс. руб.)</w:t>
            </w:r>
          </w:p>
        </w:tc>
        <w:tc>
          <w:tcPr>
            <w:tcW w:w="5251" w:type="dxa"/>
            <w:gridSpan w:val="5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Объем финансирования по годам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Результаты выполнения мероприяти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я </w:t>
            </w:r>
            <w:r w:rsidRPr="000A2EAF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подпрограммы</w:t>
            </w: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71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6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20 год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21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</w:t>
            </w:r>
            <w:r>
              <w:rPr>
                <w:rFonts w:eastAsia="Calibri"/>
                <w:color w:val="000000"/>
                <w:sz w:val="18"/>
                <w:szCs w:val="18"/>
              </w:rPr>
              <w:t>22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2EAF">
              <w:rPr>
                <w:rFonts w:eastAsia="Calibri"/>
                <w:color w:val="000000"/>
                <w:sz w:val="18"/>
                <w:szCs w:val="18"/>
              </w:rPr>
              <w:t>202</w:t>
            </w: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Pr="0038333F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5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6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71" w:type="dxa"/>
            <w:gridSpan w:val="2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1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38333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38333F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53" w:type="dxa"/>
            <w:vMerge w:val="restart"/>
          </w:tcPr>
          <w:p w:rsidR="009E221A" w:rsidRPr="005E52C0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Основное мероприятие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01.</w:t>
            </w:r>
          </w:p>
          <w:p w:rsidR="009E221A" w:rsidRPr="0046311C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6311C">
              <w:rPr>
                <w:rFonts w:eastAsia="Calibri"/>
                <w:sz w:val="18"/>
                <w:szCs w:val="18"/>
                <w:lang w:eastAsia="en-US"/>
              </w:rPr>
              <w:t>Профилактика производственного травматизма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9E221A" w:rsidRPr="0046311C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Снижение уровня производственного травматизма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1753" w:type="dxa"/>
            <w:vMerge w:val="restart"/>
          </w:tcPr>
          <w:p w:rsidR="009E221A" w:rsidRPr="005E52C0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E52C0">
              <w:rPr>
                <w:rFonts w:eastAsia="Calibri"/>
                <w:b/>
                <w:sz w:val="18"/>
                <w:szCs w:val="18"/>
                <w:lang w:eastAsia="en-US"/>
              </w:rPr>
              <w:t>Мероприятие 1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Мероприятия по у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части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в расследовании несчастных случаев с тяжелыми последствиями представителей органов муниципального  образования </w:t>
            </w:r>
            <w:proofErr w:type="gramStart"/>
            <w:r w:rsidRPr="000A2EAF">
              <w:rPr>
                <w:rFonts w:eastAsia="Calibri"/>
                <w:sz w:val="18"/>
                <w:szCs w:val="18"/>
                <w:lang w:eastAsia="en-US"/>
              </w:rPr>
              <w:t>городской</w:t>
            </w:r>
            <w:proofErr w:type="gramEnd"/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Участие в комиссиях по расследованию несчастных случаев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Средства бюджета городского округа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E221A" w:rsidRPr="000A2EAF" w:rsidTr="00F87A71">
        <w:trPr>
          <w:trHeight w:val="57"/>
        </w:trPr>
        <w:tc>
          <w:tcPr>
            <w:tcW w:w="534" w:type="dxa"/>
            <w:vMerge w:val="restart"/>
          </w:tcPr>
          <w:p w:rsidR="009E221A" w:rsidRPr="000A2EAF" w:rsidRDefault="009E221A" w:rsidP="007E152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  <w:r w:rsidR="007E152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53" w:type="dxa"/>
            <w:vMerge w:val="restart"/>
          </w:tcPr>
          <w:p w:rsidR="009E221A" w:rsidRPr="003A5216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5216">
              <w:rPr>
                <w:rFonts w:eastAsia="Calibri"/>
                <w:b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1.</w:t>
            </w:r>
            <w:r w:rsidR="007E152F">
              <w:rPr>
                <w:rFonts w:eastAsia="Calibri"/>
                <w:b/>
                <w:sz w:val="18"/>
                <w:szCs w:val="18"/>
                <w:lang w:eastAsia="en-US"/>
              </w:rPr>
              <w:t>1</w:t>
            </w:r>
          </w:p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Реализация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1276" w:type="dxa"/>
            <w:gridSpan w:val="2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2020-2024 </w:t>
            </w:r>
            <w:r w:rsidRPr="000A2EAF">
              <w:rPr>
                <w:rFonts w:eastAsia="Calibri"/>
                <w:sz w:val="18"/>
                <w:szCs w:val="18"/>
              </w:rPr>
              <w:t>гг.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6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40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</w:tcPr>
          <w:p w:rsidR="009E221A" w:rsidRPr="000A2EAF" w:rsidRDefault="009E221A" w:rsidP="00F87A7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1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Управление экономического развития и проектной деятельности</w:t>
            </w:r>
          </w:p>
        </w:tc>
        <w:tc>
          <w:tcPr>
            <w:tcW w:w="1134" w:type="dxa"/>
            <w:vMerge w:val="restart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Организация и п</w:t>
            </w:r>
            <w:r w:rsidRPr="000A2EAF">
              <w:rPr>
                <w:rFonts w:eastAsia="Calibri"/>
                <w:sz w:val="18"/>
                <w:szCs w:val="18"/>
                <w:lang w:eastAsia="en-US"/>
              </w:rPr>
              <w:t>роведение мероприятий по  обучению и охране труда</w:t>
            </w:r>
          </w:p>
        </w:tc>
      </w:tr>
      <w:tr w:rsidR="009E221A" w:rsidRPr="000A2EAF" w:rsidTr="00773ED9">
        <w:trPr>
          <w:trHeight w:val="57"/>
        </w:trPr>
        <w:tc>
          <w:tcPr>
            <w:tcW w:w="5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53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eastAsia="Calibri"/>
                <w:sz w:val="18"/>
                <w:szCs w:val="18"/>
                <w:lang w:eastAsia="en-US"/>
              </w:rPr>
              <w:t>Истра</w:t>
            </w:r>
          </w:p>
        </w:tc>
        <w:tc>
          <w:tcPr>
            <w:tcW w:w="7665" w:type="dxa"/>
            <w:gridSpan w:val="7"/>
            <w:vAlign w:val="center"/>
          </w:tcPr>
          <w:p w:rsidR="009E221A" w:rsidRPr="000A2EAF" w:rsidRDefault="009E221A" w:rsidP="00773E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2EAF">
              <w:rPr>
                <w:rFonts w:eastAsia="Calibri"/>
                <w:sz w:val="18"/>
                <w:szCs w:val="18"/>
                <w:lang w:eastAsia="en-US"/>
              </w:rPr>
              <w:t>В пределах основной деятельности</w:t>
            </w:r>
          </w:p>
        </w:tc>
        <w:tc>
          <w:tcPr>
            <w:tcW w:w="121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E221A" w:rsidRPr="000A2EAF" w:rsidRDefault="009E221A" w:rsidP="00F87A7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E221A" w:rsidRDefault="009E221A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7E152F" w:rsidRDefault="007E152F" w:rsidP="009E221A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015FAC">
        <w:rPr>
          <w:b/>
          <w:sz w:val="28"/>
          <w:szCs w:val="28"/>
        </w:rPr>
        <w:lastRenderedPageBreak/>
        <w:t>Планируемые результаты реализации</w:t>
      </w:r>
      <w:r w:rsidRPr="007E152F">
        <w:rPr>
          <w:b/>
          <w:bCs/>
          <w:sz w:val="28"/>
          <w:szCs w:val="28"/>
        </w:rPr>
        <w:t xml:space="preserve"> </w:t>
      </w:r>
      <w:r w:rsidRPr="00C201D1">
        <w:rPr>
          <w:b/>
          <w:bCs/>
          <w:sz w:val="28"/>
          <w:szCs w:val="28"/>
        </w:rPr>
        <w:t>Подпрограмм</w:t>
      </w:r>
      <w:r>
        <w:rPr>
          <w:b/>
          <w:bCs/>
          <w:sz w:val="28"/>
          <w:szCs w:val="28"/>
        </w:rPr>
        <w:t>ы 8</w:t>
      </w:r>
    </w:p>
    <w:tbl>
      <w:tblPr>
        <w:tblW w:w="1521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00"/>
        <w:gridCol w:w="4445"/>
        <w:gridCol w:w="1134"/>
        <w:gridCol w:w="1134"/>
        <w:gridCol w:w="992"/>
        <w:gridCol w:w="993"/>
        <w:gridCol w:w="992"/>
        <w:gridCol w:w="992"/>
        <w:gridCol w:w="992"/>
        <w:gridCol w:w="993"/>
        <w:gridCol w:w="1745"/>
      </w:tblGrid>
      <w:tr w:rsidR="007E152F" w:rsidRPr="00015FAC" w:rsidTr="007E152F">
        <w:trPr>
          <w:trHeight w:val="690"/>
        </w:trPr>
        <w:tc>
          <w:tcPr>
            <w:tcW w:w="15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7E152F" w:rsidRPr="00C201D1" w:rsidRDefault="007E152F" w:rsidP="00F87A71">
            <w:pPr>
              <w:jc w:val="center"/>
              <w:rPr>
                <w:color w:val="000000"/>
              </w:rPr>
            </w:pPr>
            <w:r w:rsidRPr="005665BD">
              <w:rPr>
                <w:b/>
                <w:bCs/>
                <w:sz w:val="28"/>
                <w:szCs w:val="28"/>
              </w:rPr>
              <w:t>"</w:t>
            </w:r>
            <w:r>
              <w:rPr>
                <w:b/>
                <w:sz w:val="28"/>
                <w:szCs w:val="28"/>
              </w:rPr>
              <w:t>Развитие трудовых ресурсов и охраны труда</w:t>
            </w:r>
            <w:r w:rsidRPr="005665BD">
              <w:rPr>
                <w:b/>
                <w:bCs/>
                <w:sz w:val="28"/>
                <w:szCs w:val="28"/>
              </w:rPr>
              <w:t>"</w:t>
            </w:r>
          </w:p>
        </w:tc>
      </w:tr>
      <w:tr w:rsidR="007E152F" w:rsidRPr="005B26C5" w:rsidTr="007E152F">
        <w:trPr>
          <w:trHeight w:val="69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№ п/п</w:t>
            </w:r>
          </w:p>
        </w:tc>
        <w:tc>
          <w:tcPr>
            <w:tcW w:w="4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Единица   измерения     </w:t>
            </w:r>
          </w:p>
        </w:tc>
        <w:tc>
          <w:tcPr>
            <w:tcW w:w="992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Базовое значение на начало реализации подпрограммы 2019 год</w:t>
            </w:r>
          </w:p>
        </w:tc>
        <w:tc>
          <w:tcPr>
            <w:tcW w:w="4962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Планируемое значение по годам реализации</w:t>
            </w:r>
          </w:p>
        </w:tc>
        <w:tc>
          <w:tcPr>
            <w:tcW w:w="1745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7E152F" w:rsidRPr="005B26C5" w:rsidTr="007E152F">
        <w:trPr>
          <w:trHeight w:val="1335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4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20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21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</w:t>
            </w:r>
            <w:r>
              <w:t>22</w:t>
            </w:r>
            <w:r w:rsidRPr="005B26C5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202</w:t>
            </w:r>
            <w:r>
              <w:t>3</w:t>
            </w:r>
            <w:r w:rsidRPr="005B26C5"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</w:pPr>
            <w:r w:rsidRPr="005B26C5">
              <w:t>202</w:t>
            </w:r>
            <w:r>
              <w:t>4</w:t>
            </w:r>
            <w:r w:rsidRPr="005B26C5">
              <w:t xml:space="preserve"> год</w:t>
            </w:r>
          </w:p>
        </w:tc>
        <w:tc>
          <w:tcPr>
            <w:tcW w:w="1745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7E152F" w:rsidRPr="005B26C5" w:rsidRDefault="007E152F" w:rsidP="00F87A71">
            <w:pPr>
              <w:rPr>
                <w:color w:val="000000"/>
              </w:rPr>
            </w:pPr>
          </w:p>
        </w:tc>
      </w:tr>
      <w:tr w:rsidR="007E152F" w:rsidRPr="005B26C5" w:rsidTr="007E152F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 w:rsidRPr="005B26C5">
              <w:rPr>
                <w:color w:val="000000"/>
              </w:rPr>
              <w:t>11</w:t>
            </w:r>
          </w:p>
        </w:tc>
      </w:tr>
      <w:tr w:rsidR="007E152F" w:rsidRPr="005B26C5" w:rsidTr="007E152F">
        <w:trPr>
          <w:trHeight w:val="14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52F" w:rsidRPr="005665BD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52F" w:rsidRPr="00395E80" w:rsidRDefault="007E152F" w:rsidP="00F87A71">
            <w:r w:rsidRPr="00395E80">
              <w:t>Число пострадавших в результате несчастных случаев на производстве со смертельным исходом</w:t>
            </w:r>
            <w:r w:rsidR="005C0694">
              <w:t>,</w:t>
            </w:r>
            <w:r w:rsidRPr="00395E80">
              <w:t xml:space="preserve"> в расчете на 1000 работающих (</w:t>
            </w:r>
            <w:r w:rsidR="005C0694">
              <w:t>организаций занятых в экономике муниципального образования</w:t>
            </w:r>
            <w:r w:rsidRPr="00395E8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Отраслевой</w:t>
            </w:r>
            <w:r w:rsidRPr="005665BD">
              <w:rPr>
                <w:color w:val="000000"/>
              </w:rPr>
              <w:t xml:space="preserve">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395E80" w:rsidRDefault="007E152F" w:rsidP="00F87A71">
            <w:pPr>
              <w:jc w:val="center"/>
            </w:pPr>
            <w:r w:rsidRPr="00395E80">
              <w:t>единиц (</w:t>
            </w:r>
            <w:proofErr w:type="spellStart"/>
            <w:r w:rsidRPr="00395E80">
              <w:t>Кч</w:t>
            </w:r>
            <w:proofErr w:type="spellEnd"/>
            <w:r w:rsidRPr="00395E80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665BD" w:rsidRDefault="007E152F" w:rsidP="00F87A71">
            <w:pPr>
              <w:jc w:val="center"/>
            </w:pPr>
            <w:r>
              <w:t>0,059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52F" w:rsidRPr="005B26C5" w:rsidRDefault="007E152F" w:rsidP="00F8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7E152F" w:rsidRDefault="007E152F" w:rsidP="007E152F">
      <w:pPr>
        <w:widowControl w:val="0"/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E152F" w:rsidRP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E152F">
        <w:rPr>
          <w:b/>
          <w:sz w:val="28"/>
          <w:szCs w:val="28"/>
        </w:rPr>
        <w:t xml:space="preserve">Методика расчета значений показателей эффективности реализации </w:t>
      </w:r>
    </w:p>
    <w:p w:rsidR="007E152F" w:rsidRP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E152F">
        <w:rPr>
          <w:b/>
          <w:sz w:val="28"/>
          <w:szCs w:val="28"/>
        </w:rPr>
        <w:t>Подпрограммы 8 «Развитие трудовых ресурсов и охраны труда».</w:t>
      </w:r>
    </w:p>
    <w:p w:rsidR="007E152F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both"/>
      </w:pPr>
      <w:r w:rsidRPr="001A3858">
        <w:t xml:space="preserve">Показатель: </w:t>
      </w:r>
    </w:p>
    <w:p w:rsidR="007E152F" w:rsidRPr="00FF47A3" w:rsidRDefault="007E152F" w:rsidP="007E152F">
      <w:pPr>
        <w:widowControl w:val="0"/>
        <w:suppressAutoHyphens/>
        <w:autoSpaceDE w:val="0"/>
        <w:autoSpaceDN w:val="0"/>
        <w:adjustRightInd w:val="0"/>
        <w:ind w:firstLine="540"/>
        <w:jc w:val="both"/>
      </w:pPr>
      <w:r w:rsidRPr="001A3858">
        <w:t>«</w:t>
      </w:r>
      <w:r w:rsidRPr="00FF47A3">
        <w:rPr>
          <w:i/>
        </w:rPr>
        <w:t>Число пострадавших в результате несчастных случаев на производстве со смертельным исходом</w:t>
      </w:r>
      <w:r w:rsidR="005C0694">
        <w:rPr>
          <w:i/>
        </w:rPr>
        <w:t>,</w:t>
      </w:r>
      <w:r w:rsidRPr="00FF47A3">
        <w:rPr>
          <w:i/>
        </w:rPr>
        <w:t xml:space="preserve"> в расчете на 1000 работающих (</w:t>
      </w:r>
      <w:r w:rsidR="005C0694">
        <w:rPr>
          <w:i/>
        </w:rPr>
        <w:t>организаций занятых в экономике муниципального образования</w:t>
      </w:r>
      <w:r w:rsidRPr="00FF47A3">
        <w:rPr>
          <w:i/>
        </w:rPr>
        <w:t>)</w:t>
      </w:r>
      <w:r w:rsidRPr="001A3858">
        <w:t xml:space="preserve">» </w:t>
      </w:r>
      <w:r w:rsidRPr="00FF47A3">
        <w:t>рассчитывается по формуле:</w:t>
      </w:r>
    </w:p>
    <w:p w:rsidR="007E152F" w:rsidRPr="00FF47A3" w:rsidRDefault="005C0694" w:rsidP="007E152F">
      <w:pPr>
        <w:shd w:val="clear" w:color="auto" w:fill="FFFFFF" w:themeFill="background1"/>
        <w:tabs>
          <w:tab w:val="left" w:pos="1814"/>
        </w:tabs>
      </w:pPr>
      <w:r>
        <w:t>Количество пострадавших со смертельным исходом в расчете на 1000 работающих (Коэффициент частоты)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proofErr w:type="spellStart"/>
      <w:r w:rsidRPr="00FF47A3">
        <w:t>Кчсм</w:t>
      </w:r>
      <w:proofErr w:type="spellEnd"/>
      <w:r w:rsidRPr="00FF47A3">
        <w:t xml:space="preserve"> = Ксм / </w:t>
      </w:r>
      <w:proofErr w:type="spellStart"/>
      <w:r w:rsidRPr="00FF47A3">
        <w:t>Ксп</w:t>
      </w:r>
      <w:proofErr w:type="spellEnd"/>
      <w:r w:rsidRPr="00FF47A3">
        <w:t xml:space="preserve"> x 1000,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r w:rsidRPr="00FF47A3">
        <w:t>где: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proofErr w:type="spellStart"/>
      <w:r w:rsidRPr="00FF47A3">
        <w:t>Кчсм</w:t>
      </w:r>
      <w:proofErr w:type="spellEnd"/>
      <w:r w:rsidRPr="00FF47A3">
        <w:t xml:space="preserve"> - коэффициент частоты случаев смертельного травматизма;</w:t>
      </w:r>
    </w:p>
    <w:p w:rsidR="007E152F" w:rsidRPr="00FF47A3" w:rsidRDefault="007E152F" w:rsidP="007E152F">
      <w:pPr>
        <w:shd w:val="clear" w:color="auto" w:fill="FFFFFF" w:themeFill="background1"/>
        <w:tabs>
          <w:tab w:val="left" w:pos="1814"/>
        </w:tabs>
      </w:pPr>
      <w:r w:rsidRPr="00FF47A3">
        <w:t>Ксм - количество пострадавших со смертельным исходом;</w:t>
      </w:r>
    </w:p>
    <w:p w:rsidR="007E152F" w:rsidRPr="00FF47A3" w:rsidRDefault="007E152F" w:rsidP="007E152F">
      <w:proofErr w:type="spellStart"/>
      <w:r w:rsidRPr="00FF47A3">
        <w:t>Ксп</w:t>
      </w:r>
      <w:proofErr w:type="spellEnd"/>
      <w:r w:rsidRPr="00FF47A3">
        <w:t xml:space="preserve"> – число работников</w:t>
      </w:r>
      <w:r w:rsidR="0088232D">
        <w:t xml:space="preserve"> организаций муниципал</w:t>
      </w:r>
      <w:r w:rsidR="005C0694">
        <w:t>ьного образования</w:t>
      </w:r>
      <w:r w:rsidR="000577F8">
        <w:t>.</w:t>
      </w:r>
    </w:p>
    <w:p w:rsidR="007E152F" w:rsidRDefault="007E152F" w:rsidP="000577F8">
      <w:pPr>
        <w:jc w:val="both"/>
        <w:rPr>
          <w:rFonts w:eastAsia="Calibri"/>
          <w:sz w:val="28"/>
          <w:szCs w:val="28"/>
        </w:rPr>
      </w:pPr>
      <w:r w:rsidRPr="00FF47A3">
        <w:rPr>
          <w:rFonts w:eastAsia="Calibri"/>
        </w:rPr>
        <w:lastRenderedPageBreak/>
        <w:t>Источник</w:t>
      </w:r>
      <w:r w:rsidR="000577F8">
        <w:rPr>
          <w:rFonts w:eastAsia="Calibri"/>
        </w:rPr>
        <w:t xml:space="preserve"> </w:t>
      </w:r>
      <w:r w:rsidRPr="00FF47A3">
        <w:rPr>
          <w:rFonts w:eastAsia="Calibri"/>
        </w:rPr>
        <w:t xml:space="preserve">информации: извещения работодателей </w:t>
      </w:r>
      <w:r w:rsidR="005C0694">
        <w:rPr>
          <w:rFonts w:eastAsia="Calibri"/>
        </w:rPr>
        <w:t xml:space="preserve">(зарегистрированных и осуществляющих свою деятельность на территории муниципального образования) </w:t>
      </w:r>
      <w:r w:rsidRPr="00FF47A3">
        <w:rPr>
          <w:rFonts w:eastAsia="Calibri"/>
        </w:rPr>
        <w:t xml:space="preserve">о происшедшем </w:t>
      </w:r>
      <w:r w:rsidR="005C0694">
        <w:rPr>
          <w:rFonts w:eastAsia="Calibri"/>
        </w:rPr>
        <w:t xml:space="preserve">смертельном </w:t>
      </w:r>
      <w:r w:rsidRPr="00FF47A3">
        <w:rPr>
          <w:rFonts w:eastAsia="Calibri"/>
        </w:rPr>
        <w:t>несчастном случае, направленные в орган муниципального образования</w:t>
      </w:r>
      <w:r w:rsidR="000577F8">
        <w:rPr>
          <w:rFonts w:eastAsia="Calibri"/>
        </w:rPr>
        <w:t xml:space="preserve"> в соответствии с требованием статьи </w:t>
      </w:r>
      <w:r w:rsidRPr="00FF47A3">
        <w:rPr>
          <w:rFonts w:eastAsia="Calibri"/>
        </w:rPr>
        <w:t>228.1 Т</w:t>
      </w:r>
      <w:r w:rsidR="000577F8">
        <w:rPr>
          <w:rFonts w:eastAsia="Calibri"/>
        </w:rPr>
        <w:t xml:space="preserve">рудового кодекса Российской Федерации. </w:t>
      </w:r>
    </w:p>
    <w:p w:rsidR="000840F8" w:rsidRDefault="000840F8" w:rsidP="000577F8">
      <w:pPr>
        <w:jc w:val="both"/>
      </w:pPr>
    </w:p>
    <w:sectPr w:rsidR="000840F8" w:rsidSect="009E221A">
      <w:pgSz w:w="16838" w:h="11906" w:orient="landscape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1A"/>
    <w:rsid w:val="000577F8"/>
    <w:rsid w:val="000840F8"/>
    <w:rsid w:val="005C0694"/>
    <w:rsid w:val="00773ED9"/>
    <w:rsid w:val="007E152F"/>
    <w:rsid w:val="0088232D"/>
    <w:rsid w:val="009E221A"/>
    <w:rsid w:val="00D2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2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Наталья Анатольевна Полозкова</cp:lastModifiedBy>
  <cp:revision>2</cp:revision>
  <dcterms:created xsi:type="dcterms:W3CDTF">2019-11-01T12:29:00Z</dcterms:created>
  <dcterms:modified xsi:type="dcterms:W3CDTF">2019-11-01T12:29:00Z</dcterms:modified>
</cp:coreProperties>
</file>