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313921"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w:t>
      </w:r>
      <w:r w:rsidR="00F14FB8">
        <w:rPr>
          <w:rFonts w:ascii="Times New Roman" w:hAnsi="Times New Roman" w:cs="Times New Roman"/>
          <w:sz w:val="24"/>
          <w:szCs w:val="24"/>
          <w:u w:val="single"/>
        </w:rPr>
        <w:t>28.06.2021</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F14FB8">
        <w:rPr>
          <w:rFonts w:ascii="Times New Roman" w:hAnsi="Times New Roman" w:cs="Times New Roman"/>
          <w:sz w:val="24"/>
          <w:szCs w:val="24"/>
          <w:u w:val="single"/>
        </w:rPr>
        <w:t>276/6</w:t>
      </w:r>
      <w:bookmarkStart w:id="0" w:name="_GoBack"/>
      <w:bookmarkEnd w:id="0"/>
      <w:r w:rsidR="00FE227E">
        <w:rPr>
          <w:rFonts w:ascii="Times New Roman" w:hAnsi="Times New Roman" w:cs="Times New Roman"/>
          <w:sz w:val="24"/>
          <w:szCs w:val="24"/>
          <w:u w:val="single"/>
        </w:rPr>
        <w:t>_</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w:t>
            </w:r>
            <w:r w:rsidR="005A14CF" w:rsidRPr="005A14CF">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BB463E">
              <w:rPr>
                <w:rFonts w:ascii="Times New Roman" w:hAnsi="Times New Roman" w:cs="Times New Roman"/>
                <w:sz w:val="24"/>
                <w:szCs w:val="24"/>
              </w:rPr>
              <w:t>»</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676C61" w:rsidRDefault="00676C61" w:rsidP="00676C61">
      <w:pPr>
        <w:autoSpaceDE w:val="0"/>
        <w:autoSpaceDN w:val="0"/>
        <w:adjustRightInd w:val="0"/>
        <w:spacing w:before="120" w:after="0" w:line="240" w:lineRule="auto"/>
        <w:ind w:firstLine="709"/>
        <w:jc w:val="both"/>
        <w:rPr>
          <w:rFonts w:ascii="Times New Roman" w:hAnsi="Times New Roman" w:cs="Times New Roman"/>
          <w:bCs/>
          <w:sz w:val="24"/>
          <w:szCs w:val="24"/>
          <w:lang w:eastAsia="ru-RU"/>
        </w:rPr>
      </w:pPr>
      <w:r w:rsidRPr="00676C61">
        <w:rPr>
          <w:rFonts w:ascii="Times New Roman" w:hAnsi="Times New Roman" w:cs="Times New Roman"/>
          <w:bCs/>
          <w:sz w:val="24"/>
          <w:szCs w:val="24"/>
          <w:lang w:eastAsia="ru-RU"/>
        </w:rPr>
        <w:lastRenderedPageBreak/>
        <w:t xml:space="preserve">Программа состоит из </w:t>
      </w:r>
      <w:r>
        <w:rPr>
          <w:rFonts w:ascii="Times New Roman" w:hAnsi="Times New Roman" w:cs="Times New Roman"/>
          <w:bCs/>
          <w:sz w:val="24"/>
          <w:szCs w:val="24"/>
          <w:lang w:eastAsia="ru-RU"/>
        </w:rPr>
        <w:t>4</w:t>
      </w:r>
      <w:r w:rsidRPr="00676C61">
        <w:rPr>
          <w:rFonts w:ascii="Times New Roman" w:hAnsi="Times New Roman" w:cs="Times New Roman"/>
          <w:bCs/>
          <w:sz w:val="24"/>
          <w:szCs w:val="24"/>
          <w:lang w:eastAsia="ru-RU"/>
        </w:rPr>
        <w:t xml:space="preserve"> подпрограмм, каждая из которых предусматривает </w:t>
      </w:r>
      <w:proofErr w:type="gramStart"/>
      <w:r w:rsidRPr="00676C61">
        <w:rPr>
          <w:rFonts w:ascii="Times New Roman" w:hAnsi="Times New Roman" w:cs="Times New Roman"/>
          <w:bCs/>
          <w:sz w:val="24"/>
          <w:szCs w:val="24"/>
          <w:lang w:eastAsia="ru-RU"/>
        </w:rPr>
        <w:t xml:space="preserve">определенный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перечень</w:t>
      </w:r>
      <w:proofErr w:type="gramEnd"/>
      <w:r w:rsidRPr="00676C6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мероприятий,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обеспечивающий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 xml:space="preserve">достижение </w:t>
      </w:r>
      <w:r>
        <w:rPr>
          <w:rFonts w:ascii="Times New Roman" w:hAnsi="Times New Roman" w:cs="Times New Roman"/>
          <w:bCs/>
          <w:sz w:val="24"/>
          <w:szCs w:val="24"/>
          <w:lang w:eastAsia="ru-RU"/>
        </w:rPr>
        <w:t xml:space="preserve"> </w:t>
      </w:r>
      <w:r w:rsidRPr="00676C61">
        <w:rPr>
          <w:rFonts w:ascii="Times New Roman" w:hAnsi="Times New Roman" w:cs="Times New Roman"/>
          <w:bCs/>
          <w:sz w:val="24"/>
          <w:szCs w:val="24"/>
          <w:lang w:eastAsia="ru-RU"/>
        </w:rPr>
        <w:t>цели</w:t>
      </w:r>
      <w:r>
        <w:rPr>
          <w:rFonts w:ascii="Times New Roman" w:hAnsi="Times New Roman" w:cs="Times New Roman"/>
          <w:bCs/>
          <w:sz w:val="24"/>
          <w:szCs w:val="24"/>
          <w:lang w:eastAsia="ru-RU"/>
        </w:rPr>
        <w:t xml:space="preserve">   п</w:t>
      </w:r>
      <w:r w:rsidR="003D485F" w:rsidRPr="00676C61">
        <w:rPr>
          <w:rFonts w:ascii="Times New Roman" w:hAnsi="Times New Roman" w:cs="Times New Roman"/>
          <w:bCs/>
          <w:sz w:val="24"/>
          <w:szCs w:val="24"/>
          <w:lang w:eastAsia="ru-RU"/>
        </w:rPr>
        <w:t>рограммы</w:t>
      </w:r>
      <w:r>
        <w:rPr>
          <w:rFonts w:ascii="Times New Roman" w:hAnsi="Times New Roman" w:cs="Times New Roman"/>
          <w:bCs/>
          <w:sz w:val="24"/>
          <w:szCs w:val="24"/>
          <w:lang w:eastAsia="ru-RU"/>
        </w:rPr>
        <w:t xml:space="preserve"> -</w:t>
      </w:r>
    </w:p>
    <w:p w:rsidR="003D485F" w:rsidRPr="00E73BE1" w:rsidRDefault="00676C61" w:rsidP="00676C61">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003D485F" w:rsidRPr="00E73BE1">
        <w:rPr>
          <w:rFonts w:ascii="Times New Roman" w:hAnsi="Times New Roman" w:cs="Times New Roman"/>
          <w:sz w:val="24"/>
          <w:szCs w:val="24"/>
          <w:lang w:eastAsia="ru-RU"/>
        </w:rPr>
        <w:t>остижение устойчиво высоких темпов экономического роста, обеспечивающих повышение уровня жизни жите</w:t>
      </w:r>
      <w:r w:rsidR="003D485F"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4: «</w:t>
      </w:r>
      <w:r w:rsidR="005A14CF" w:rsidRPr="005A14CF">
        <w:rPr>
          <w:rFonts w:ascii="Times New Roman" w:hAnsi="Times New Roman" w:cs="Times New Roman"/>
          <w:sz w:val="24"/>
          <w:szCs w:val="24"/>
          <w:lang w:eastAsia="ru-RU"/>
        </w:rPr>
        <w:t>Развитие потребительского рынка и услуг на территории муниципального образования Московской области</w:t>
      </w:r>
      <w:r>
        <w:rPr>
          <w:rFonts w:ascii="Times New Roman" w:hAnsi="Times New Roman" w:cs="Times New Roman"/>
          <w:sz w:val="24"/>
          <w:szCs w:val="24"/>
          <w:lang w:eastAsia="ru-RU"/>
        </w:rPr>
        <w:t xml:space="preserve">»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92665B" w:rsidRDefault="009C6945"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B256D2">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92665B" w:rsidRDefault="00B759F9"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92665B"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 xml:space="preserve">Отраслевой показатель </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92665B" w:rsidRDefault="00AD5465" w:rsidP="00AD5465">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Отраслевой показатель</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92665B" w:rsidRDefault="005757CF" w:rsidP="00F83705">
            <w:pPr>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AB60D8">
              <w:rPr>
                <w:rFonts w:ascii="Times New Roman" w:hAnsi="Times New Roman" w:cs="Times New Roman"/>
                <w:sz w:val="18"/>
                <w:szCs w:val="18"/>
              </w:rPr>
              <w:t> </w:t>
            </w:r>
            <w:r w:rsidRPr="006E59DF">
              <w:rPr>
                <w:rFonts w:ascii="Times New Roman" w:hAnsi="Times New Roman" w:cs="Times New Roman"/>
                <w:sz w:val="18"/>
                <w:szCs w:val="18"/>
              </w:rPr>
              <w:t>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92665B" w:rsidRDefault="00B9458C" w:rsidP="00B9458C">
            <w:pPr>
              <w:spacing w:after="0" w:line="240" w:lineRule="auto"/>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92665B" w:rsidRDefault="00AB60D8" w:rsidP="00B9458C">
            <w:pPr>
              <w:spacing w:after="0" w:line="240" w:lineRule="auto"/>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Указной</w:t>
            </w:r>
          </w:p>
        </w:tc>
        <w:tc>
          <w:tcPr>
            <w:tcW w:w="992" w:type="dxa"/>
            <w:tcBorders>
              <w:top w:val="single" w:sz="4" w:space="0" w:color="auto"/>
            </w:tcBorders>
            <w:vAlign w:val="center"/>
          </w:tcPr>
          <w:p w:rsidR="00B9458C" w:rsidRPr="0092665B"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92665B"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sidRPr="0092665B">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E59DF"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2.1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2</w:t>
            </w:r>
          </w:p>
        </w:tc>
        <w:tc>
          <w:tcPr>
            <w:tcW w:w="992"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3</w:t>
            </w:r>
          </w:p>
        </w:tc>
        <w:tc>
          <w:tcPr>
            <w:tcW w:w="851"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,4</w:t>
            </w:r>
          </w:p>
        </w:tc>
        <w:tc>
          <w:tcPr>
            <w:tcW w:w="850" w:type="dxa"/>
            <w:tcBorders>
              <w:top w:val="nil"/>
              <w:left w:val="single" w:sz="4" w:space="0" w:color="auto"/>
              <w:bottom w:val="single" w:sz="4" w:space="0" w:color="auto"/>
              <w:right w:val="single" w:sz="4" w:space="0" w:color="auto"/>
            </w:tcBorders>
            <w:vAlign w:val="center"/>
          </w:tcPr>
          <w:p w:rsidR="00B9458C" w:rsidRPr="00C52CE3" w:rsidRDefault="008012F9"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4</w:t>
            </w:r>
            <w:r w:rsidR="00B9458C" w:rsidRPr="00C52CE3">
              <w:rPr>
                <w:rFonts w:ascii="Times New Roman" w:hAnsi="Times New Roman" w:cs="Times New Roman"/>
                <w:sz w:val="18"/>
                <w:szCs w:val="18"/>
                <w:lang w:eastAsia="ru-RU"/>
              </w:rPr>
              <w:t>,</w:t>
            </w:r>
            <w:r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3</w:t>
            </w:r>
          </w:p>
        </w:tc>
        <w:tc>
          <w:tcPr>
            <w:tcW w:w="992"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4</w:t>
            </w:r>
          </w:p>
        </w:tc>
        <w:tc>
          <w:tcPr>
            <w:tcW w:w="851"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C52CE3" w:rsidRDefault="00B9458C" w:rsidP="00B9458C">
            <w:pPr>
              <w:spacing w:after="0" w:line="240" w:lineRule="auto"/>
              <w:jc w:val="center"/>
              <w:rPr>
                <w:rFonts w:ascii="Times New Roman" w:hAnsi="Times New Roman" w:cs="Times New Roman"/>
                <w:sz w:val="18"/>
                <w:szCs w:val="18"/>
                <w:lang w:eastAsia="ru-RU"/>
              </w:rPr>
            </w:pPr>
            <w:r w:rsidRPr="00C52CE3">
              <w:rPr>
                <w:rFonts w:ascii="Times New Roman" w:hAnsi="Times New Roman" w:cs="Times New Roman"/>
                <w:sz w:val="18"/>
                <w:szCs w:val="18"/>
                <w:lang w:eastAsia="ru-RU"/>
              </w:rPr>
              <w:t>3</w:t>
            </w:r>
            <w:r w:rsidR="000B7ACA" w:rsidRPr="00C52CE3">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04. Реализация комплекса мер по содействию развитию 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«Реализация механизмов муниципальной поддержки субъектов малого и </w:t>
            </w:r>
            <w:r w:rsidRPr="006E59DF">
              <w:rPr>
                <w:rFonts w:ascii="Times New Roman" w:hAnsi="Times New Roman" w:cs="Times New Roman"/>
                <w:sz w:val="18"/>
                <w:szCs w:val="18"/>
              </w:rPr>
              <w:lastRenderedPageBreak/>
              <w:t>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4771AA" w:rsidRDefault="00B9458C" w:rsidP="00B9458C">
            <w:pPr>
              <w:pStyle w:val="ConsPlusNormal"/>
              <w:jc w:val="center"/>
              <w:outlineLvl w:val="0"/>
              <w:rPr>
                <w:rFonts w:ascii="Times New Roman" w:hAnsi="Times New Roman" w:cs="Times New Roman"/>
                <w:strike/>
                <w:color w:val="FF0000"/>
                <w:sz w:val="18"/>
                <w:szCs w:val="18"/>
              </w:rPr>
            </w:pPr>
            <w:r w:rsidRPr="004771AA">
              <w:rPr>
                <w:rFonts w:ascii="Times New Roman" w:hAnsi="Times New Roman" w:cs="Times New Roman"/>
                <w:sz w:val="18"/>
                <w:szCs w:val="18"/>
              </w:rPr>
              <w:t>3.4</w:t>
            </w:r>
          </w:p>
        </w:tc>
        <w:tc>
          <w:tcPr>
            <w:tcW w:w="5388" w:type="dxa"/>
            <w:vAlign w:val="center"/>
          </w:tcPr>
          <w:p w:rsidR="004771AA" w:rsidRPr="00A9142D" w:rsidRDefault="004771AA" w:rsidP="004771AA">
            <w:pPr>
              <w:pStyle w:val="ConsPlusNormal"/>
              <w:outlineLvl w:val="0"/>
              <w:rPr>
                <w:rFonts w:ascii="Times New Roman" w:hAnsi="Times New Roman" w:cs="Times New Roman"/>
                <w:sz w:val="18"/>
                <w:szCs w:val="18"/>
              </w:rPr>
            </w:pPr>
            <w:r w:rsidRPr="00A9142D">
              <w:rPr>
                <w:rFonts w:ascii="Times New Roman" w:hAnsi="Times New Roman" w:cs="Times New Roman"/>
                <w:sz w:val="18"/>
                <w:szCs w:val="18"/>
              </w:rPr>
              <w:t>Количество вновь созданных субъектов малого и среднего бизнеса</w:t>
            </w:r>
          </w:p>
          <w:p w:rsidR="004771AA" w:rsidRPr="00A9142D" w:rsidRDefault="004771AA" w:rsidP="00B9458C">
            <w:pPr>
              <w:pStyle w:val="ConsPlusNormal"/>
              <w:outlineLvl w:val="0"/>
              <w:rPr>
                <w:rFonts w:ascii="Times New Roman" w:hAnsi="Times New Roman" w:cs="Times New Roman"/>
                <w:strike/>
                <w:color w:val="FF0000"/>
                <w:sz w:val="18"/>
                <w:szCs w:val="18"/>
              </w:rPr>
            </w:pPr>
          </w:p>
          <w:p w:rsidR="00B9458C" w:rsidRPr="00A9142D" w:rsidRDefault="00B9458C" w:rsidP="00B9458C">
            <w:pPr>
              <w:pStyle w:val="ConsPlusNormal"/>
              <w:outlineLvl w:val="0"/>
              <w:rPr>
                <w:rFonts w:ascii="Times New Roman" w:hAnsi="Times New Roman" w:cs="Times New Roman"/>
                <w:strike/>
                <w:color w:val="FF0000"/>
                <w:sz w:val="18"/>
                <w:szCs w:val="18"/>
              </w:rPr>
            </w:pPr>
          </w:p>
        </w:tc>
        <w:tc>
          <w:tcPr>
            <w:tcW w:w="1417" w:type="dxa"/>
            <w:vAlign w:val="center"/>
          </w:tcPr>
          <w:p w:rsidR="004771AA" w:rsidRPr="00A9142D" w:rsidRDefault="004771AA" w:rsidP="00B9458C">
            <w:pPr>
              <w:pStyle w:val="ConsPlusNormal"/>
              <w:ind w:left="-108"/>
              <w:jc w:val="center"/>
              <w:outlineLvl w:val="0"/>
              <w:rPr>
                <w:rFonts w:ascii="Times New Roman" w:hAnsi="Times New Roman" w:cs="Times New Roman"/>
                <w:sz w:val="18"/>
                <w:szCs w:val="18"/>
              </w:rPr>
            </w:pPr>
            <w:r w:rsidRPr="00A9142D">
              <w:rPr>
                <w:rFonts w:ascii="Times New Roman" w:hAnsi="Times New Roman" w:cs="Times New Roman"/>
                <w:sz w:val="18"/>
                <w:szCs w:val="18"/>
              </w:rPr>
              <w:t>Отраслевой показатель</w:t>
            </w:r>
          </w:p>
          <w:p w:rsidR="00B9458C" w:rsidRPr="00A9142D" w:rsidRDefault="00B9458C" w:rsidP="00B9458C">
            <w:pPr>
              <w:pStyle w:val="ConsPlusNormal"/>
              <w:ind w:left="-108"/>
              <w:jc w:val="center"/>
              <w:outlineLvl w:val="0"/>
              <w:rPr>
                <w:rFonts w:ascii="Times New Roman" w:hAnsi="Times New Roman" w:cs="Times New Roman"/>
                <w:strike/>
                <w:color w:val="FF0000"/>
                <w:sz w:val="18"/>
                <w:szCs w:val="18"/>
              </w:rPr>
            </w:pP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единиц</w:t>
            </w:r>
          </w:p>
        </w:tc>
        <w:tc>
          <w:tcPr>
            <w:tcW w:w="1134"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45</w:t>
            </w:r>
          </w:p>
        </w:tc>
        <w:tc>
          <w:tcPr>
            <w:tcW w:w="993"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49</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51</w:t>
            </w:r>
          </w:p>
        </w:tc>
        <w:tc>
          <w:tcPr>
            <w:tcW w:w="992"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53</w:t>
            </w:r>
          </w:p>
        </w:tc>
        <w:tc>
          <w:tcPr>
            <w:tcW w:w="851"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55</w:t>
            </w:r>
          </w:p>
        </w:tc>
        <w:tc>
          <w:tcPr>
            <w:tcW w:w="850" w:type="dxa"/>
            <w:vAlign w:val="center"/>
          </w:tcPr>
          <w:p w:rsidR="00B9458C" w:rsidRPr="0098710B" w:rsidRDefault="00B9458C" w:rsidP="0098710B">
            <w:pPr>
              <w:widowControl w:val="0"/>
              <w:autoSpaceDE w:val="0"/>
              <w:autoSpaceDN w:val="0"/>
              <w:adjustRightInd w:val="0"/>
              <w:spacing w:after="0" w:line="240" w:lineRule="auto"/>
              <w:jc w:val="center"/>
              <w:rPr>
                <w:rFonts w:ascii="Times New Roman" w:hAnsi="Times New Roman" w:cs="Times New Roman"/>
                <w:sz w:val="18"/>
                <w:szCs w:val="18"/>
              </w:rPr>
            </w:pPr>
            <w:r w:rsidRPr="0098710B">
              <w:rPr>
                <w:rFonts w:ascii="Times New Roman" w:hAnsi="Times New Roman" w:cs="Times New Roman"/>
                <w:sz w:val="18"/>
                <w:szCs w:val="18"/>
              </w:rPr>
              <w:t>57</w:t>
            </w:r>
          </w:p>
        </w:tc>
        <w:tc>
          <w:tcPr>
            <w:tcW w:w="2410" w:type="dxa"/>
            <w:vAlign w:val="center"/>
          </w:tcPr>
          <w:p w:rsidR="004771AA" w:rsidRPr="00883931" w:rsidRDefault="004771AA" w:rsidP="004771A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4771AA" w:rsidRPr="00883931" w:rsidRDefault="004771AA" w:rsidP="0098710B">
            <w:pPr>
              <w:widowControl w:val="0"/>
              <w:autoSpaceDE w:val="0"/>
              <w:autoSpaceDN w:val="0"/>
              <w:adjustRightInd w:val="0"/>
              <w:spacing w:after="0"/>
              <w:rPr>
                <w:rFonts w:ascii="Times New Roman" w:hAnsi="Times New Roman" w:cs="Times New Roman"/>
                <w:strike/>
                <w:color w:val="FF0000"/>
                <w:sz w:val="18"/>
                <w:szCs w:val="18"/>
              </w:rPr>
            </w:pPr>
            <w:r w:rsidRPr="00883931">
              <w:rPr>
                <w:rFonts w:ascii="Times New Roman" w:hAnsi="Times New Roman" w:cs="Times New Roman"/>
                <w:sz w:val="18"/>
                <w:szCs w:val="18"/>
                <w:lang w:eastAsia="ru-RU"/>
              </w:rPr>
              <w:t xml:space="preserve"> «Популяризация предпринимательства»</w:t>
            </w:r>
          </w:p>
          <w:p w:rsidR="00B9458C" w:rsidRPr="00883931" w:rsidRDefault="00B9458C" w:rsidP="0098710B">
            <w:pPr>
              <w:pStyle w:val="ConsPlusNormal"/>
              <w:outlineLvl w:val="0"/>
              <w:rPr>
                <w:rFonts w:ascii="Times New Roman" w:hAnsi="Times New Roman" w:cs="Times New Roman"/>
                <w:strike/>
                <w:color w:val="FF0000"/>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FA4FBD" w:rsidRPr="00FA4FBD" w:rsidRDefault="00FA4FBD" w:rsidP="00B9458C">
            <w:pPr>
              <w:pStyle w:val="ConsPlusNormal"/>
              <w:jc w:val="center"/>
              <w:outlineLvl w:val="0"/>
              <w:rPr>
                <w:rFonts w:ascii="Times New Roman" w:hAnsi="Times New Roman" w:cs="Times New Roman"/>
                <w:sz w:val="18"/>
                <w:szCs w:val="18"/>
              </w:rPr>
            </w:pPr>
            <w:r w:rsidRPr="00FA4FBD">
              <w:rPr>
                <w:rFonts w:ascii="Times New Roman" w:hAnsi="Times New Roman" w:cs="Times New Roman"/>
                <w:sz w:val="18"/>
                <w:szCs w:val="18"/>
              </w:rPr>
              <w:t>3.5</w:t>
            </w:r>
          </w:p>
          <w:p w:rsidR="00B9458C" w:rsidRPr="00FA4FBD" w:rsidRDefault="00B9458C" w:rsidP="00B9458C">
            <w:pPr>
              <w:pStyle w:val="ConsPlusNormal"/>
              <w:jc w:val="center"/>
              <w:outlineLvl w:val="0"/>
              <w:rPr>
                <w:rFonts w:ascii="Times New Roman" w:hAnsi="Times New Roman" w:cs="Times New Roman"/>
                <w:color w:val="FF0000"/>
                <w:sz w:val="18"/>
                <w:szCs w:val="18"/>
              </w:rPr>
            </w:pPr>
          </w:p>
        </w:tc>
        <w:tc>
          <w:tcPr>
            <w:tcW w:w="5388" w:type="dxa"/>
            <w:vAlign w:val="center"/>
          </w:tcPr>
          <w:p w:rsidR="00B9458C" w:rsidRPr="00537624" w:rsidRDefault="00B9458C" w:rsidP="00B9458C">
            <w:pPr>
              <w:rPr>
                <w:rFonts w:ascii="Times New Roman" w:hAnsi="Times New Roman" w:cs="Times New Roman"/>
                <w:sz w:val="18"/>
                <w:szCs w:val="18"/>
                <w:lang w:eastAsia="ru-RU"/>
              </w:rPr>
            </w:pPr>
            <w:r w:rsidRPr="00537624">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537624" w:rsidRDefault="00B9458C" w:rsidP="00B9458C">
            <w:pPr>
              <w:rPr>
                <w:rFonts w:ascii="Times New Roman" w:hAnsi="Times New Roman" w:cs="Times New Roman"/>
                <w:sz w:val="18"/>
                <w:szCs w:val="18"/>
                <w:lang w:eastAsia="ru-RU"/>
              </w:rPr>
            </w:pPr>
          </w:p>
        </w:tc>
        <w:tc>
          <w:tcPr>
            <w:tcW w:w="1417" w:type="dxa"/>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537624" w:rsidRDefault="00B9458C" w:rsidP="00B9458C">
            <w:pPr>
              <w:pStyle w:val="ConsPlusNormal"/>
              <w:ind w:left="-108"/>
              <w:jc w:val="center"/>
              <w:outlineLvl w:val="0"/>
              <w:rPr>
                <w:rFonts w:ascii="Times New Roman" w:hAnsi="Times New Roman" w:cs="Times New Roman"/>
                <w:sz w:val="18"/>
                <w:szCs w:val="18"/>
              </w:rPr>
            </w:pPr>
            <w:r w:rsidRPr="00537624">
              <w:rPr>
                <w:rFonts w:ascii="Times New Roman" w:hAnsi="Times New Roman" w:cs="Times New Roman"/>
                <w:sz w:val="18"/>
                <w:szCs w:val="18"/>
              </w:rPr>
              <w:t>человек</w:t>
            </w:r>
          </w:p>
        </w:tc>
        <w:tc>
          <w:tcPr>
            <w:tcW w:w="1134"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537624">
              <w:rPr>
                <w:rFonts w:ascii="Times New Roman" w:hAnsi="Times New Roman" w:cs="Times New Roman"/>
                <w:sz w:val="18"/>
                <w:szCs w:val="18"/>
                <w:lang w:eastAsia="ru-RU"/>
              </w:rPr>
              <w:t>1199</w:t>
            </w:r>
          </w:p>
        </w:tc>
        <w:tc>
          <w:tcPr>
            <w:tcW w:w="993" w:type="dxa"/>
            <w:vAlign w:val="center"/>
          </w:tcPr>
          <w:p w:rsidR="00B9458C" w:rsidRPr="00537624"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537624">
              <w:rPr>
                <w:rFonts w:ascii="Times New Roman" w:hAnsi="Times New Roman" w:cs="Times New Roman"/>
                <w:sz w:val="18"/>
                <w:szCs w:val="18"/>
                <w:lang w:eastAsia="ru-RU"/>
              </w:rPr>
              <w:t>1375</w:t>
            </w:r>
          </w:p>
        </w:tc>
        <w:tc>
          <w:tcPr>
            <w:tcW w:w="850" w:type="dxa"/>
            <w:vAlign w:val="center"/>
          </w:tcPr>
          <w:p w:rsidR="00B9458C" w:rsidRPr="00537624"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537624">
              <w:rPr>
                <w:rFonts w:ascii="Times New Roman" w:hAnsi="Times New Roman" w:cs="Times New Roman"/>
                <w:sz w:val="18"/>
                <w:szCs w:val="18"/>
                <w:lang w:eastAsia="ru-RU"/>
              </w:rPr>
              <w:t>3110</w:t>
            </w:r>
          </w:p>
        </w:tc>
        <w:tc>
          <w:tcPr>
            <w:tcW w:w="992"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1"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850" w:type="dxa"/>
            <w:vAlign w:val="center"/>
          </w:tcPr>
          <w:p w:rsidR="00B9458C" w:rsidRPr="00FA4FBD" w:rsidRDefault="00B9458C" w:rsidP="00B9458C">
            <w:pPr>
              <w:autoSpaceDE w:val="0"/>
              <w:autoSpaceDN w:val="0"/>
              <w:adjustRightInd w:val="0"/>
              <w:spacing w:after="0" w:line="240" w:lineRule="auto"/>
              <w:jc w:val="center"/>
              <w:rPr>
                <w:rFonts w:ascii="Times New Roman" w:hAnsi="Times New Roman" w:cs="Times New Roman"/>
                <w:color w:val="FF0000"/>
                <w:sz w:val="18"/>
                <w:szCs w:val="18"/>
                <w:lang w:eastAsia="ru-RU"/>
              </w:rPr>
            </w:pPr>
            <w:r w:rsidRPr="00FA4FBD">
              <w:rPr>
                <w:rFonts w:ascii="Times New Roman" w:hAnsi="Times New Roman" w:cs="Times New Roman"/>
                <w:color w:val="FF0000"/>
                <w:sz w:val="18"/>
                <w:szCs w:val="18"/>
                <w:lang w:eastAsia="ru-RU"/>
              </w:rPr>
              <w:t>-</w:t>
            </w:r>
          </w:p>
        </w:tc>
        <w:tc>
          <w:tcPr>
            <w:tcW w:w="2410" w:type="dxa"/>
            <w:vAlign w:val="center"/>
          </w:tcPr>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Основное мероприятие 08.</w:t>
            </w:r>
          </w:p>
          <w:p w:rsidR="008C262A" w:rsidRPr="00883931" w:rsidRDefault="008C262A" w:rsidP="008C262A">
            <w:pPr>
              <w:widowControl w:val="0"/>
              <w:autoSpaceDE w:val="0"/>
              <w:autoSpaceDN w:val="0"/>
              <w:adjustRightInd w:val="0"/>
              <w:spacing w:after="0"/>
              <w:rPr>
                <w:rFonts w:ascii="Times New Roman" w:hAnsi="Times New Roman" w:cs="Times New Roman"/>
                <w:sz w:val="18"/>
                <w:szCs w:val="18"/>
                <w:lang w:eastAsia="ru-RU"/>
              </w:rPr>
            </w:pPr>
            <w:r w:rsidRPr="00883931">
              <w:rPr>
                <w:rFonts w:ascii="Times New Roman" w:hAnsi="Times New Roman" w:cs="Times New Roman"/>
                <w:sz w:val="18"/>
                <w:szCs w:val="18"/>
                <w:lang w:eastAsia="ru-RU"/>
              </w:rPr>
              <w:t xml:space="preserve"> «Популяризация предпринимательства»</w:t>
            </w:r>
          </w:p>
          <w:p w:rsidR="008C262A" w:rsidRPr="00883931" w:rsidRDefault="008C262A" w:rsidP="00B9458C">
            <w:pPr>
              <w:pStyle w:val="ConsPlusNormal"/>
              <w:outlineLvl w:val="0"/>
              <w:rPr>
                <w:rFonts w:ascii="Times New Roman" w:hAnsi="Times New Roman" w:cs="Times New Roman"/>
                <w:color w:val="FF0000"/>
                <w:sz w:val="18"/>
                <w:szCs w:val="18"/>
              </w:rPr>
            </w:pPr>
          </w:p>
          <w:p w:rsidR="00B9458C" w:rsidRPr="00883931" w:rsidRDefault="00B9458C" w:rsidP="00A9142D">
            <w:pPr>
              <w:pStyle w:val="ConsPlusNormal"/>
              <w:outlineLvl w:val="0"/>
              <w:rPr>
                <w:rFonts w:ascii="Times New Roman" w:hAnsi="Times New Roman" w:cs="Times New Roman"/>
                <w:color w:val="FF0000"/>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w:t>
            </w:r>
            <w:r w:rsidR="005A14CF" w:rsidRPr="005A14CF">
              <w:rPr>
                <w:rFonts w:ascii="Times New Roman" w:hAnsi="Times New Roman" w:cs="Times New Roman"/>
                <w:b/>
                <w:sz w:val="18"/>
                <w:szCs w:val="18"/>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18"/>
                <w:szCs w:val="18"/>
              </w:rPr>
              <w:t>»</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1"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1759.5</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1784,3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1801,95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1817,8</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1"/>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2.7</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150,400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150,469</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150,847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883931" w:rsidRDefault="004941C8" w:rsidP="00B9458C">
            <w:pPr>
              <w:pStyle w:val="ConsPlusNormal"/>
              <w:outlineLvl w:val="0"/>
              <w:rPr>
                <w:rFonts w:ascii="Times New Roman" w:hAnsi="Times New Roman" w:cs="Times New Roman"/>
                <w:sz w:val="18"/>
                <w:szCs w:val="18"/>
              </w:rPr>
            </w:pPr>
            <w:r w:rsidRPr="00883931">
              <w:rPr>
                <w:rFonts w:ascii="Times New Roman" w:hAnsi="Times New Roman" w:cs="Times New Roman"/>
                <w:sz w:val="18"/>
                <w:szCs w:val="18"/>
              </w:rPr>
              <w:t>Стандарт потребительского рынка и услуг</w:t>
            </w:r>
          </w:p>
        </w:tc>
        <w:tc>
          <w:tcPr>
            <w:tcW w:w="1417"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Приоритетный, Рейтинг-50</w:t>
            </w:r>
          </w:p>
        </w:tc>
        <w:tc>
          <w:tcPr>
            <w:tcW w:w="992" w:type="dxa"/>
            <w:vAlign w:val="center"/>
          </w:tcPr>
          <w:p w:rsidR="00B9458C" w:rsidRPr="00883931" w:rsidRDefault="00B9458C" w:rsidP="00B9458C">
            <w:pPr>
              <w:pStyle w:val="ConsPlusNormal"/>
              <w:ind w:left="-108"/>
              <w:jc w:val="center"/>
              <w:outlineLvl w:val="0"/>
              <w:rPr>
                <w:rFonts w:ascii="Times New Roman" w:hAnsi="Times New Roman" w:cs="Times New Roman"/>
                <w:sz w:val="18"/>
                <w:szCs w:val="18"/>
              </w:rPr>
            </w:pPr>
            <w:r w:rsidRPr="00883931">
              <w:rPr>
                <w:rFonts w:ascii="Times New Roman" w:hAnsi="Times New Roman" w:cs="Times New Roman"/>
                <w:sz w:val="18"/>
                <w:szCs w:val="18"/>
              </w:rPr>
              <w:t>баллы</w:t>
            </w:r>
          </w:p>
        </w:tc>
        <w:tc>
          <w:tcPr>
            <w:tcW w:w="1134"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993"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w:t>
            </w:r>
          </w:p>
        </w:tc>
        <w:tc>
          <w:tcPr>
            <w:tcW w:w="850" w:type="dxa"/>
            <w:vAlign w:val="center"/>
          </w:tcPr>
          <w:p w:rsidR="00B9458C" w:rsidRPr="00883931" w:rsidRDefault="004941C8" w:rsidP="00B9458C">
            <w:pPr>
              <w:pStyle w:val="ConsPlusNormal"/>
              <w:jc w:val="center"/>
              <w:outlineLvl w:val="0"/>
              <w:rPr>
                <w:rFonts w:ascii="Times New Roman" w:hAnsi="Times New Roman" w:cs="Times New Roman"/>
                <w:sz w:val="18"/>
                <w:szCs w:val="18"/>
              </w:rPr>
            </w:pPr>
            <w:r w:rsidRPr="00883931">
              <w:rPr>
                <w:rFonts w:ascii="Times New Roman" w:hAnsi="Times New Roman" w:cs="Times New Roman"/>
                <w:sz w:val="18"/>
                <w:szCs w:val="18"/>
              </w:rPr>
              <w:t>2780</w:t>
            </w:r>
          </w:p>
        </w:tc>
        <w:tc>
          <w:tcPr>
            <w:tcW w:w="992"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proofErr w:type="gramStart"/>
            <w:r w:rsidRPr="006E59DF">
              <w:rPr>
                <w:rFonts w:ascii="Times New Roman" w:hAnsi="Times New Roman" w:cs="Times New Roman"/>
                <w:sz w:val="18"/>
                <w:szCs w:val="18"/>
              </w:rPr>
              <w:t>3  Развитие</w:t>
            </w:r>
            <w:proofErr w:type="gramEnd"/>
            <w:r w:rsidRPr="006E59DF">
              <w:rPr>
                <w:rFonts w:ascii="Times New Roman" w:hAnsi="Times New Roman" w:cs="Times New Roman"/>
                <w:sz w:val="18"/>
                <w:szCs w:val="18"/>
              </w:rPr>
              <w:t xml:space="preserve">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r w:rsidR="00B9458C" w:rsidRPr="006E59DF" w:rsidTr="00EB1B6F">
        <w:tblPrEx>
          <w:tblCellMar>
            <w:top w:w="0" w:type="dxa"/>
            <w:left w:w="108" w:type="dxa"/>
            <w:bottom w:w="0" w:type="dxa"/>
            <w:right w:w="108" w:type="dxa"/>
          </w:tblCellMar>
        </w:tblPrEx>
        <w:trPr>
          <w:trHeight w:val="1126"/>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4.8</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A265CC" w:rsidRDefault="00B9458C" w:rsidP="00B9458C">
            <w:pPr>
              <w:pStyle w:val="ConsPlusNormal"/>
              <w:jc w:val="center"/>
              <w:outlineLvl w:val="0"/>
              <w:rPr>
                <w:rFonts w:ascii="Times New Roman" w:hAnsi="Times New Roman" w:cs="Times New Roman"/>
                <w:sz w:val="18"/>
                <w:szCs w:val="18"/>
              </w:rPr>
            </w:pPr>
            <w:r w:rsidRPr="00A265CC">
              <w:rPr>
                <w:rFonts w:ascii="Times New Roman" w:hAnsi="Times New Roman" w:cs="Times New Roman"/>
                <w:sz w:val="18"/>
                <w:szCs w:val="18"/>
              </w:rPr>
              <w:t>13</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B9458C" w:rsidRPr="006E59DF" w:rsidRDefault="00B9458C" w:rsidP="00B9458C">
            <w:pPr>
              <w:pStyle w:val="ConsPlusNormal"/>
              <w:jc w:val="center"/>
              <w:outlineLvl w:val="0"/>
              <w:rPr>
                <w:rFonts w:ascii="Times New Roman" w:hAnsi="Times New Roman" w:cs="Times New Roman"/>
                <w:sz w:val="18"/>
                <w:szCs w:val="18"/>
              </w:rPr>
            </w:pP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Объем инвестиций, привлеченных в основной </w:t>
            </w:r>
            <w:r w:rsidRPr="006E59DF">
              <w:rPr>
                <w:rFonts w:ascii="Times New Roman" w:hAnsi="Times New Roman" w:cs="Times New Roman"/>
                <w:sz w:val="18"/>
                <w:szCs w:val="18"/>
                <w:lang w:eastAsia="ru-RU"/>
              </w:rPr>
              <w:lastRenderedPageBreak/>
              <w:t>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lastRenderedPageBreak/>
              <w:t>тыс.руб</w:t>
            </w:r>
            <w:proofErr w:type="spellEnd"/>
            <w:r w:rsidRPr="006E59DF">
              <w:rPr>
                <w:rFonts w:ascii="Times New Roman" w:hAnsi="Times New Roman" w:cs="Times New Roman"/>
                <w:sz w:val="18"/>
                <w:szCs w:val="18"/>
                <w:lang w:eastAsia="ru-RU"/>
              </w:rPr>
              <w:t>.</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r w:rsidRPr="006E59DF">
              <w:rPr>
                <w:rFonts w:ascii="Times New Roman" w:hAnsi="Times New Roman" w:cs="Times New Roman"/>
                <w:sz w:val="18"/>
                <w:szCs w:val="18"/>
                <w:lang w:eastAsia="ru-RU"/>
              </w:rPr>
              <w:t>Чн</w:t>
            </w:r>
            <w:proofErr w:type="spellEnd"/>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Данные формы статистического наблюдения № П-2 </w:t>
            </w:r>
            <w:r w:rsidRPr="006E59DF">
              <w:rPr>
                <w:rFonts w:ascii="Times New Roman" w:hAnsi="Times New Roman" w:cs="Times New Roman"/>
                <w:sz w:val="18"/>
                <w:szCs w:val="18"/>
                <w:lang w:eastAsia="ru-RU"/>
              </w:rPr>
              <w:lastRenderedPageBreak/>
              <w:t>«Сведения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ПЗ = </w:t>
            </w: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*100</w:t>
            </w:r>
            <w:proofErr w:type="gramStart"/>
            <w:r w:rsidRPr="006E59DF">
              <w:rPr>
                <w:rFonts w:ascii="Times New Roman" w:hAnsi="Times New Roman" w:cs="Times New Roman"/>
                <w:sz w:val="18"/>
                <w:szCs w:val="18"/>
                <w:lang w:eastAsia="ru-RU"/>
              </w:rPr>
              <w:t>/(</w:t>
            </w:r>
            <w:proofErr w:type="spellStart"/>
            <w:proofErr w:type="gramEnd"/>
            <w:r w:rsidRPr="006E59DF">
              <w:rPr>
                <w:rFonts w:ascii="Times New Roman" w:hAnsi="Times New Roman" w:cs="Times New Roman"/>
                <w:sz w:val="18"/>
                <w:szCs w:val="18"/>
                <w:lang w:eastAsia="ru-RU"/>
              </w:rPr>
              <w:t>Пинд.о-Пинд.и</w:t>
            </w:r>
            <w:proofErr w:type="spellEnd"/>
            <w:r w:rsidRPr="006E59DF">
              <w:rPr>
                <w:rFonts w:ascii="Times New Roman" w:hAnsi="Times New Roman" w:cs="Times New Roman"/>
                <w:sz w:val="18"/>
                <w:szCs w:val="18"/>
                <w:lang w:eastAsia="ru-RU"/>
              </w:rPr>
              <w:t>)</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 xml:space="preserve">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Пинд.о</w:t>
            </w:r>
            <w:proofErr w:type="spellEnd"/>
            <w:r w:rsidRPr="006E59DF">
              <w:rPr>
                <w:rFonts w:ascii="Times New Roman" w:hAnsi="Times New Roman" w:cs="Times New Roman"/>
                <w:sz w:val="18"/>
                <w:szCs w:val="18"/>
                <w:lang w:eastAsia="ru-RU"/>
              </w:rPr>
              <w:t>.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и</w:t>
            </w:r>
            <w:proofErr w:type="spellEnd"/>
            <w:r w:rsidRPr="006E59DF">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6E59DF">
              <w:rPr>
                <w:rFonts w:ascii="Times New Roman" w:hAnsi="Times New Roman" w:cs="Times New Roman"/>
                <w:sz w:val="18"/>
                <w:szCs w:val="18"/>
                <w:lang w:eastAsia="ru-RU"/>
              </w:rPr>
              <w:t>так же</w:t>
            </w:r>
            <w:proofErr w:type="gramEnd"/>
            <w:r w:rsidRPr="006E59DF">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CA3C23" w:rsidRPr="006E59DF" w:rsidTr="00D711DE">
        <w:trPr>
          <w:trHeight w:val="332"/>
        </w:trPr>
        <w:tc>
          <w:tcPr>
            <w:tcW w:w="425" w:type="dxa"/>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CA3C23" w:rsidRPr="0092665B" w:rsidRDefault="00CA3C23" w:rsidP="00CA3C23">
            <w:pPr>
              <w:spacing w:after="0"/>
              <w:jc w:val="center"/>
              <w:rPr>
                <w:rFonts w:ascii="Times New Roman" w:hAnsi="Times New Roman" w:cs="Times New Roman"/>
                <w:sz w:val="18"/>
                <w:szCs w:val="18"/>
                <w:lang w:eastAsia="ru-RU"/>
              </w:rPr>
            </w:pPr>
            <w:r w:rsidRPr="0092665B">
              <w:rPr>
                <w:rFonts w:ascii="Times New Roman" w:hAnsi="Times New Roman" w:cs="Times New Roman"/>
                <w:sz w:val="18"/>
                <w:szCs w:val="18"/>
                <w:lang w:eastAsia="ru-RU"/>
              </w:rPr>
              <w:t>процент</w:t>
            </w:r>
          </w:p>
        </w:tc>
        <w:tc>
          <w:tcPr>
            <w:tcW w:w="5812" w:type="dxa"/>
          </w:tcPr>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ИЧ / ИЧ (n-</w:t>
            </w:r>
            <w:proofErr w:type="gramStart"/>
            <w:r w:rsidRPr="0092665B">
              <w:rPr>
                <w:rFonts w:ascii="Times New Roman" w:eastAsiaTheme="minorEastAsia" w:hAnsi="Times New Roman" w:cs="Times New Roman"/>
                <w:sz w:val="18"/>
                <w:szCs w:val="18"/>
                <w:lang w:eastAsia="ru-RU"/>
              </w:rPr>
              <w:t>1)*</w:t>
            </w:r>
            <w:proofErr w:type="gramEnd"/>
            <w:r w:rsidRPr="0092665B">
              <w:rPr>
                <w:rFonts w:ascii="Times New Roman" w:eastAsiaTheme="minorEastAsia" w:hAnsi="Times New Roman" w:cs="Times New Roman"/>
                <w:sz w:val="18"/>
                <w:szCs w:val="18"/>
                <w:lang w:eastAsia="ru-RU"/>
              </w:rPr>
              <w:t>100</w:t>
            </w:r>
          </w:p>
          <w:p w:rsidR="00CA3C23" w:rsidRPr="0092665B" w:rsidRDefault="00CA3C23" w:rsidP="00CA3C23">
            <w:pPr>
              <w:widowControl w:val="0"/>
              <w:autoSpaceDE w:val="0"/>
              <w:autoSpaceDN w:val="0"/>
              <w:adjustRightInd w:val="0"/>
              <w:spacing w:after="0" w:line="36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IЧ - 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в основной капитал, за исключением инвестиций инфраструктурных монополий (федеральные проекты) и бюджетных </w:t>
            </w:r>
            <w:r w:rsidRPr="0092665B">
              <w:rPr>
                <w:rFonts w:ascii="Times New Roman" w:eastAsiaTheme="minorEastAsia" w:hAnsi="Times New Roman" w:cs="Times New Roman"/>
                <w:sz w:val="18"/>
                <w:szCs w:val="18"/>
                <w:lang w:eastAsia="ru-RU"/>
              </w:rPr>
              <w:lastRenderedPageBreak/>
              <w:t>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=Ио-</w:t>
            </w: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w:t>
            </w:r>
            <w:proofErr w:type="spellStart"/>
            <w:r w:rsidRPr="0092665B">
              <w:rPr>
                <w:rFonts w:ascii="Times New Roman" w:eastAsiaTheme="minorEastAsia" w:hAnsi="Times New Roman" w:cs="Times New Roman"/>
                <w:sz w:val="18"/>
                <w:szCs w:val="18"/>
                <w:lang w:eastAsia="ru-RU"/>
              </w:rPr>
              <w:t>Ифб</w:t>
            </w:r>
            <w:proofErr w:type="spellEnd"/>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r w:rsidRPr="0092665B">
              <w:rPr>
                <w:rFonts w:eastAsiaTheme="minorEastAsia"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Ио – Объем инвестиций, привлеченных в основной капитал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 Объем инвестиций инфраструктурных монополий (федеральные проекты);</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 Объем бюджетных ассигнований федерального бюджета. </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Расчет показателя осуществляется по следующей формуле: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=Ио (n-1)-</w:t>
            </w: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(n-1)-</w:t>
            </w: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(n-1)</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где:</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ИЧ (n-1)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Ио (n-1) - Объем инвестиций, привлеченных в основной капитал по организациям, не относящимся к субъектам малого предпринимательства за предыдущий год.</w:t>
            </w:r>
          </w:p>
          <w:p w:rsidR="00CA3C23" w:rsidRPr="0092665B" w:rsidRDefault="00CA3C23" w:rsidP="00CA3C23">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Ифп</w:t>
            </w:r>
            <w:proofErr w:type="spellEnd"/>
            <w:r w:rsidRPr="0092665B">
              <w:rPr>
                <w:rFonts w:ascii="Times New Roman" w:eastAsiaTheme="minorEastAsia" w:hAnsi="Times New Roman" w:cs="Times New Roman"/>
                <w:sz w:val="18"/>
                <w:szCs w:val="18"/>
                <w:lang w:eastAsia="ru-RU"/>
              </w:rPr>
              <w:t xml:space="preserve"> (n-1) – Объем инвестиций инфраструктурных монополий (федеральные проекты) за предыдущий год.</w:t>
            </w:r>
          </w:p>
          <w:p w:rsidR="00CA3C23" w:rsidRPr="0092665B" w:rsidRDefault="00CA3C23" w:rsidP="00CA3C23">
            <w:pPr>
              <w:widowControl w:val="0"/>
              <w:autoSpaceDE w:val="0"/>
              <w:autoSpaceDN w:val="0"/>
              <w:adjustRightInd w:val="0"/>
              <w:spacing w:after="0" w:line="240" w:lineRule="auto"/>
              <w:jc w:val="both"/>
              <w:rPr>
                <w:rFonts w:eastAsiaTheme="minorEastAsia" w:cs="Times New Roman"/>
                <w:sz w:val="18"/>
                <w:szCs w:val="18"/>
                <w:lang w:eastAsia="ru-RU"/>
              </w:rPr>
            </w:pPr>
            <w:proofErr w:type="spellStart"/>
            <w:r w:rsidRPr="0092665B">
              <w:rPr>
                <w:rFonts w:ascii="Times New Roman" w:eastAsiaTheme="minorEastAsia" w:hAnsi="Times New Roman" w:cs="Times New Roman"/>
                <w:sz w:val="18"/>
                <w:szCs w:val="18"/>
                <w:lang w:eastAsia="ru-RU"/>
              </w:rPr>
              <w:t>Ифб</w:t>
            </w:r>
            <w:proofErr w:type="spellEnd"/>
            <w:r w:rsidRPr="0092665B">
              <w:rPr>
                <w:rFonts w:ascii="Times New Roman" w:eastAsiaTheme="minorEastAsia" w:hAnsi="Times New Roman" w:cs="Times New Roman"/>
                <w:sz w:val="18"/>
                <w:szCs w:val="18"/>
                <w:lang w:eastAsia="ru-RU"/>
              </w:rPr>
              <w:t xml:space="preserve"> (n-1) – Объем бюджетных ассигнований федерального бюджета за</w:t>
            </w:r>
            <w:r w:rsidRPr="0092665B">
              <w:rPr>
                <w:rFonts w:eastAsiaTheme="minorEastAsia" w:cs="Times New Roman"/>
                <w:sz w:val="18"/>
                <w:szCs w:val="18"/>
                <w:lang w:eastAsia="ru-RU"/>
              </w:rPr>
              <w:t xml:space="preserve"> предыдущий год.</w:t>
            </w:r>
          </w:p>
        </w:tc>
        <w:tc>
          <w:tcPr>
            <w:tcW w:w="4678" w:type="dxa"/>
          </w:tcPr>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П-2 «Сведения об инвестициях в нефинансовые активы»;</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sz w:val="18"/>
                <w:szCs w:val="18"/>
                <w:lang w:eastAsia="ru-RU"/>
              </w:rPr>
            </w:pPr>
            <w:r w:rsidRPr="0092665B">
              <w:rPr>
                <w:rFonts w:ascii="Times New Roman" w:eastAsiaTheme="minorEastAsia" w:hAnsi="Times New Roman" w:cs="Times New Roman"/>
                <w:sz w:val="18"/>
                <w:szCs w:val="18"/>
                <w:lang w:eastAsia="ru-RU"/>
              </w:rPr>
              <w:lastRenderedPageBreak/>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в процентах к предыдущему году. </w:t>
            </w:r>
          </w:p>
          <w:p w:rsidR="00CA3C23" w:rsidRPr="0092665B" w:rsidRDefault="00CA3C23" w:rsidP="00CA3C23">
            <w:pPr>
              <w:widowControl w:val="0"/>
              <w:autoSpaceDE w:val="0"/>
              <w:autoSpaceDN w:val="0"/>
              <w:adjustRightInd w:val="0"/>
              <w:jc w:val="both"/>
              <w:rPr>
                <w:rFonts w:ascii="Times New Roman" w:eastAsiaTheme="minorEastAsia" w:hAnsi="Times New Roman" w:cs="Times New Roman"/>
                <w:b/>
                <w:bCs/>
                <w:sz w:val="18"/>
                <w:szCs w:val="18"/>
                <w:lang w:eastAsia="ru-RU"/>
              </w:rPr>
            </w:pPr>
            <w:r w:rsidRPr="0092665B">
              <w:rPr>
                <w:rFonts w:ascii="Times New Roman" w:eastAsiaTheme="minorEastAsia" w:hAnsi="Times New Roman" w:cs="Times New Roman"/>
                <w:b/>
                <w:bCs/>
                <w:sz w:val="18"/>
                <w:szCs w:val="18"/>
                <w:lang w:eastAsia="ru-RU"/>
              </w:rPr>
              <w:t>При получении официальной статистической отчетности осуществляется корректировка показателя.</w:t>
            </w:r>
          </w:p>
          <w:p w:rsidR="00CA3C23" w:rsidRPr="0092665B" w:rsidRDefault="00CA3C23" w:rsidP="00CA3C23">
            <w:pPr>
              <w:widowControl w:val="0"/>
              <w:autoSpaceDE w:val="0"/>
              <w:autoSpaceDN w:val="0"/>
              <w:adjustRightInd w:val="0"/>
              <w:jc w:val="center"/>
              <w:rPr>
                <w:rFonts w:eastAsiaTheme="minorEastAsia" w:cs="Times New Roman"/>
                <w:b/>
                <w:bCs/>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p w:rsidR="00CA3C23" w:rsidRPr="0092665B" w:rsidRDefault="00CA3C23" w:rsidP="00CA3C23">
            <w:pPr>
              <w:widowControl w:val="0"/>
              <w:autoSpaceDE w:val="0"/>
              <w:autoSpaceDN w:val="0"/>
              <w:adjustRightInd w:val="0"/>
              <w:spacing w:after="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CA3C23" w:rsidRPr="006E59DF" w:rsidRDefault="00CA3C23" w:rsidP="00CA3C23">
            <w:pPr>
              <w:widowControl w:val="0"/>
              <w:autoSpaceDE w:val="0"/>
              <w:autoSpaceDN w:val="0"/>
              <w:adjustRightInd w:val="0"/>
              <w:spacing w:after="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proofErr w:type="spellStart"/>
            <w:r w:rsidRPr="006E59DF">
              <w:rPr>
                <w:sz w:val="20"/>
                <w:szCs w:val="20"/>
              </w:rPr>
              <w:t>Д</w:t>
            </w:r>
            <w:r w:rsidRPr="006E59DF">
              <w:rPr>
                <w:sz w:val="20"/>
                <w:szCs w:val="20"/>
                <w:vertAlign w:val="subscript"/>
              </w:rPr>
              <w:t>нт</w:t>
            </w:r>
            <w:proofErr w:type="spellEnd"/>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одс</w:t>
            </w:r>
            <w:proofErr w:type="spellEnd"/>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дс</w:t>
            </w:r>
            <w:proofErr w:type="spellEnd"/>
            <w:r w:rsidRPr="006E59DF">
              <w:rPr>
                <w:rFonts w:ascii="Times New Roman" w:hAnsi="Times New Roman" w:cs="Times New Roman"/>
                <w:sz w:val="20"/>
                <w:vertAlign w:val="subscript"/>
              </w:rPr>
              <w:t xml:space="preserve">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w:t>
            </w:r>
            <w:proofErr w:type="spellStart"/>
            <w:r w:rsidRPr="006E59DF">
              <w:rPr>
                <w:sz w:val="20"/>
                <w:szCs w:val="20"/>
              </w:rPr>
              <w:t>обт</w:t>
            </w:r>
            <w:proofErr w:type="spellEnd"/>
            <w:r w:rsidRPr="006E59DF">
              <w:rPr>
                <w:sz w:val="20"/>
                <w:szCs w:val="20"/>
              </w:rPr>
              <w:t xml:space="preserve">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t>где:</w:t>
            </w:r>
          </w:p>
          <w:p w:rsidR="00344116" w:rsidRPr="006E59DF" w:rsidRDefault="00344116" w:rsidP="00804F84">
            <w:pPr>
              <w:spacing w:after="0" w:line="240" w:lineRule="auto"/>
              <w:jc w:val="both"/>
              <w:rPr>
                <w:sz w:val="20"/>
                <w:szCs w:val="20"/>
              </w:rPr>
            </w:pPr>
            <w:proofErr w:type="spellStart"/>
            <w:r w:rsidRPr="006E59DF">
              <w:rPr>
                <w:sz w:val="20"/>
                <w:szCs w:val="20"/>
              </w:rPr>
              <w:t>Дсмп</w:t>
            </w:r>
            <w:proofErr w:type="spellEnd"/>
            <w:r w:rsidRPr="006E59DF">
              <w:rPr>
                <w:sz w:val="20"/>
                <w:szCs w:val="20"/>
              </w:rPr>
              <w:t xml:space="preserve">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смп</w:t>
            </w:r>
            <w:proofErr w:type="spellEnd"/>
            <w:r w:rsidRPr="006E59DF">
              <w:rPr>
                <w:sz w:val="20"/>
                <w:szCs w:val="20"/>
              </w:rPr>
              <w:t xml:space="preserve">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суб</w:t>
            </w:r>
            <w:proofErr w:type="spellEnd"/>
            <w:r w:rsidRPr="006E59DF">
              <w:rPr>
                <w:sz w:val="20"/>
                <w:szCs w:val="20"/>
              </w:rPr>
              <w:t xml:space="preserve">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lastRenderedPageBreak/>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proofErr w:type="spellStart"/>
            <w:r w:rsidRPr="006E59DF">
              <w:rPr>
                <w:sz w:val="20"/>
                <w:szCs w:val="20"/>
                <w:vertAlign w:val="subscript"/>
                <w:lang w:val="en-US"/>
              </w:rPr>
              <w:t>k</w:t>
            </w:r>
            <w:r w:rsidRPr="006E59DF">
              <w:rPr>
                <w:sz w:val="20"/>
                <w:szCs w:val="20"/>
                <w:vertAlign w:val="superscript"/>
                <w:lang w:val="en-US"/>
              </w:rPr>
              <w:t>i</w:t>
            </w:r>
            <w:proofErr w:type="spellEnd"/>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 xml:space="preserve">K = Т1 + Т2 + ... </w:t>
            </w:r>
            <w:proofErr w:type="spellStart"/>
            <w:r w:rsidRPr="006E59DF">
              <w:rPr>
                <w:sz w:val="20"/>
                <w:szCs w:val="20"/>
              </w:rPr>
              <w:t>Тi</w:t>
            </w:r>
            <w:proofErr w:type="spellEnd"/>
            <w:r w:rsidRPr="006E59DF">
              <w:rPr>
                <w:sz w:val="20"/>
                <w:szCs w:val="20"/>
              </w:rPr>
              <w:t>,</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proofErr w:type="spellStart"/>
            <w:r w:rsidRPr="006E59DF">
              <w:rPr>
                <w:sz w:val="20"/>
                <w:szCs w:val="20"/>
              </w:rPr>
              <w:t>Тi</w:t>
            </w:r>
            <w:proofErr w:type="spellEnd"/>
            <w:r w:rsidRPr="006E59DF">
              <w:rPr>
                <w:sz w:val="20"/>
                <w:szCs w:val="20"/>
              </w:rPr>
              <w:t xml:space="preserve">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 xml:space="preserve">Требование (Т1 - </w:t>
            </w:r>
            <w:proofErr w:type="spellStart"/>
            <w:r w:rsidRPr="006E59DF">
              <w:rPr>
                <w:rFonts w:ascii="Times New Roman" w:hAnsi="Times New Roman" w:cs="Times New Roman"/>
                <w:sz w:val="20"/>
                <w:lang w:eastAsia="ru-RU"/>
              </w:rPr>
              <w:t>Тi</w:t>
            </w:r>
            <w:proofErr w:type="spellEnd"/>
            <w:r w:rsidRPr="006E59DF">
              <w:rPr>
                <w:rFonts w:ascii="Times New Roman" w:hAnsi="Times New Roman" w:cs="Times New Roman"/>
                <w:sz w:val="20"/>
                <w:lang w:eastAsia="ru-RU"/>
              </w:rPr>
              <w:t>):</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857BD3" w:rsidRDefault="00FD5947" w:rsidP="00772219">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857BD3">
              <w:rPr>
                <w:rFonts w:ascii="Times New Roman" w:hAnsi="Times New Roman" w:cs="Times New Roman"/>
                <w:sz w:val="18"/>
                <w:szCs w:val="18"/>
                <w:lang w:eastAsia="ru-RU"/>
              </w:rPr>
              <w:t xml:space="preserve"> – среднесписочная численность работн</w:t>
            </w:r>
            <w:proofErr w:type="spellStart"/>
            <w:r w:rsidRPr="00857BD3">
              <w:rPr>
                <w:rFonts w:ascii="Times New Roman" w:hAnsi="Times New Roman" w:cs="Times New Roman"/>
                <w:sz w:val="18"/>
                <w:szCs w:val="18"/>
                <w:lang w:eastAsia="ru-RU"/>
              </w:rPr>
              <w:t>иков</w:t>
            </w:r>
            <w:proofErr w:type="spellEnd"/>
            <w:r w:rsidRPr="00857BD3">
              <w:rPr>
                <w:rFonts w:ascii="Times New Roman" w:hAnsi="Times New Roman" w:cs="Times New Roman"/>
                <w:sz w:val="18"/>
                <w:szCs w:val="18"/>
                <w:lang w:eastAsia="ru-RU"/>
              </w:rPr>
              <w:t xml:space="preserve"> (без внешних совместителей) малых (включая микро) и средних предприятий – юридических лиц, человек;</w:t>
            </w:r>
          </w:p>
          <w:p w:rsidR="00FD5947" w:rsidRPr="00857BD3" w:rsidRDefault="00FD5947" w:rsidP="00842D8B">
            <w:pPr>
              <w:widowControl w:val="0"/>
              <w:autoSpaceDE w:val="0"/>
              <w:autoSpaceDN w:val="0"/>
              <w:adjustRightInd w:val="0"/>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857BD3">
              <w:rPr>
                <w:rFonts w:ascii="Times New Roman" w:hAnsi="Times New Roman"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857BD3">
              <w:rPr>
                <w:rFonts w:ascii="Times New Roman" w:hAnsi="Times New Roman"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857BD3">
              <w:rPr>
                <w:rFonts w:ascii="Times New Roman" w:hAnsi="Times New Roman"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857BD3" w:rsidRDefault="00FD5947" w:rsidP="00842D8B">
            <w:pPr>
              <w:spacing w:after="0"/>
              <w:jc w:val="both"/>
              <w:rPr>
                <w:rFonts w:ascii="Times New Roman" w:hAnsi="Times New Roman" w:cs="Times New Roman"/>
                <w:sz w:val="18"/>
                <w:szCs w:val="18"/>
                <w:lang w:eastAsia="ru-RU"/>
              </w:rPr>
            </w:pPr>
            <m:oMath>
              <m:r>
                <m:rPr>
                  <m:sty m:val="p"/>
                </m:rPr>
                <w:rPr>
                  <w:rFonts w:ascii="Cambria Math" w:hAnsi="Cambria Math" w:cs="Times New Roman"/>
                  <w:sz w:val="18"/>
                  <w:szCs w:val="18"/>
                  <w:lang w:eastAsia="ru-RU"/>
                </w:rPr>
                <m:t>Чсмсп</m:t>
              </m:r>
            </m:oMath>
            <w:r w:rsidRPr="00857BD3">
              <w:rPr>
                <w:rFonts w:ascii="Times New Roman" w:hAnsi="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857BD3">
              <w:rPr>
                <w:rFonts w:ascii="Times New Roman" w:hAnsi="Times New Roman" w:cs="Times New Roman"/>
                <w:sz w:val="18"/>
                <w:szCs w:val="18"/>
                <w:lang w:eastAsia="ru-RU"/>
              </w:rPr>
              <w:t xml:space="preserve"> – численность постоянного населения </w:t>
            </w:r>
            <w:proofErr w:type="gramStart"/>
            <w:r w:rsidRPr="00857BD3">
              <w:rPr>
                <w:rFonts w:ascii="Times New Roman" w:hAnsi="Times New Roman" w:cs="Times New Roman"/>
                <w:sz w:val="18"/>
                <w:szCs w:val="18"/>
                <w:lang w:eastAsia="ru-RU"/>
              </w:rPr>
              <w:t>на начало</w:t>
            </w:r>
            <w:proofErr w:type="gramEnd"/>
            <w:r w:rsidRPr="00857BD3">
              <w:rPr>
                <w:rFonts w:ascii="Times New Roman" w:hAnsi="Times New Roman"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Малый бизнес большого региона. Прирост количества субъектов малого и среднего предпринимательства на </w:t>
            </w:r>
            <w:r w:rsidRPr="006E59DF">
              <w:rPr>
                <w:rFonts w:ascii="Times New Roman" w:hAnsi="Times New Roman" w:cs="Times New Roman"/>
                <w:sz w:val="18"/>
                <w:szCs w:val="18"/>
                <w:lang w:eastAsia="ru-RU"/>
              </w:rPr>
              <w:lastRenderedPageBreak/>
              <w:t>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единица</w:t>
            </w:r>
          </w:p>
        </w:tc>
        <w:tc>
          <w:tcPr>
            <w:tcW w:w="5216" w:type="dxa"/>
          </w:tcPr>
          <w:p w:rsidR="00FD5947" w:rsidRPr="006E59DF" w:rsidRDefault="00D4622F"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proofErr w:type="spellStart"/>
            <w:proofErr w:type="gramStart"/>
            <w:r w:rsidRPr="00857BD3">
              <w:rPr>
                <w:rFonts w:ascii="Times New Roman" w:hAnsi="Times New Roman" w:cs="Times New Roman"/>
                <w:sz w:val="18"/>
                <w:szCs w:val="18"/>
                <w:lang w:eastAsia="ru-RU"/>
              </w:rPr>
              <w:t>Прк</w:t>
            </w:r>
            <w:proofErr w:type="spellEnd"/>
            <w:r w:rsidRPr="00857BD3">
              <w:rPr>
                <w:rFonts w:ascii="Times New Roman" w:hAnsi="Times New Roman" w:cs="Times New Roman"/>
                <w:sz w:val="18"/>
                <w:szCs w:val="18"/>
                <w:lang w:eastAsia="ru-RU"/>
              </w:rPr>
              <w:t xml:space="preserve">  –</w:t>
            </w:r>
            <w:proofErr w:type="gramEnd"/>
            <w:r w:rsidRPr="00857BD3">
              <w:rPr>
                <w:rFonts w:ascii="Times New Roman" w:hAnsi="Times New Roman" w:cs="Times New Roman"/>
                <w:sz w:val="18"/>
                <w:szCs w:val="18"/>
                <w:lang w:eastAsia="ru-RU"/>
              </w:rPr>
              <w:t xml:space="preserve"> прирост количества субъектов малого и среднего предпринимательства, осуществляющих деятельность на </w:t>
            </w:r>
            <w:r w:rsidRPr="00857BD3">
              <w:rPr>
                <w:rFonts w:ascii="Times New Roman" w:hAnsi="Times New Roman" w:cs="Times New Roman"/>
                <w:sz w:val="18"/>
                <w:szCs w:val="18"/>
                <w:lang w:eastAsia="ru-RU"/>
              </w:rPr>
              <w:lastRenderedPageBreak/>
              <w:t>территории муниципального образования Московской области, на 10 тыс. населения, единиц;</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proofErr w:type="spellStart"/>
            <w:r w:rsidRPr="00857BD3">
              <w:rPr>
                <w:rFonts w:ascii="Times New Roman" w:hAnsi="Times New Roman" w:cs="Times New Roman"/>
                <w:sz w:val="18"/>
                <w:szCs w:val="18"/>
                <w:lang w:eastAsia="ru-RU"/>
              </w:rPr>
              <w:t>Кt</w:t>
            </w:r>
            <w:proofErr w:type="spellEnd"/>
            <w:r w:rsidRPr="00857BD3">
              <w:rPr>
                <w:rFonts w:ascii="Times New Roman" w:hAnsi="Times New Roman"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857BD3" w:rsidRDefault="00FD5947" w:rsidP="00842D8B">
            <w:pPr>
              <w:widowControl w:val="0"/>
              <w:autoSpaceDE w:val="0"/>
              <w:autoSpaceDN w:val="0"/>
              <w:adjustRightInd w:val="0"/>
              <w:spacing w:after="0"/>
              <w:jc w:val="center"/>
              <w:rPr>
                <w:rFonts w:ascii="Times New Roman" w:hAnsi="Times New Roman" w:cs="Times New Roman"/>
                <w:sz w:val="18"/>
                <w:szCs w:val="18"/>
                <w:lang w:eastAsia="ru-RU"/>
              </w:rPr>
            </w:pPr>
            <w:r w:rsidRPr="00857BD3">
              <w:rPr>
                <w:rFonts w:ascii="Times New Roman" w:hAnsi="Times New Roman"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D4622F"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857BD3">
              <w:rPr>
                <w:rFonts w:ascii="Times New Roman" w:hAnsi="Times New Roman"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857BD3">
              <w:rPr>
                <w:rFonts w:ascii="Times New Roman" w:hAnsi="Times New Roman"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6D6A91" w:rsidRPr="00883931" w:rsidRDefault="006D6A91" w:rsidP="00842D8B">
            <w:pPr>
              <w:widowControl w:val="0"/>
              <w:autoSpaceDE w:val="0"/>
              <w:autoSpaceDN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Количество вновь созданных субъектов малого и среднего бизнеса</w:t>
            </w:r>
          </w:p>
        </w:tc>
        <w:tc>
          <w:tcPr>
            <w:tcW w:w="1217" w:type="dxa"/>
          </w:tcPr>
          <w:p w:rsidR="00FD5947" w:rsidRPr="00883931"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883931">
              <w:rPr>
                <w:rFonts w:ascii="Times New Roman" w:hAnsi="Times New Roman" w:cs="Times New Roman"/>
                <w:sz w:val="18"/>
                <w:szCs w:val="18"/>
                <w:lang w:eastAsia="ru-RU"/>
              </w:rPr>
              <w:t>единица</w:t>
            </w:r>
          </w:p>
        </w:tc>
        <w:tc>
          <w:tcPr>
            <w:tcW w:w="5216" w:type="dxa"/>
          </w:tcPr>
          <w:p w:rsidR="00FD5947" w:rsidRPr="00883931" w:rsidRDefault="006D6A91" w:rsidP="007E6995">
            <w:pPr>
              <w:widowControl w:val="0"/>
              <w:autoSpaceDE w:val="0"/>
              <w:autoSpaceDN w:val="0"/>
              <w:adjustRightInd w:val="0"/>
              <w:jc w:val="center"/>
              <w:rPr>
                <w:rFonts w:ascii="Cambria Math" w:hAnsi="Cambria Math" w:cs="Times New Roman"/>
                <w:sz w:val="18"/>
                <w:szCs w:val="18"/>
                <w:lang w:eastAsia="ru-RU"/>
              </w:rPr>
            </w:pPr>
            <w:r w:rsidRPr="00883931">
              <w:rPr>
                <w:rFonts w:ascii="Times New Roman" w:hAnsi="Times New Roman" w:cs="Times New Roman"/>
                <w:sz w:val="18"/>
                <w:szCs w:val="18"/>
                <w:lang w:eastAsia="ru-RU"/>
              </w:rPr>
              <w:t>Вновь созданные субъекты малого и среднего бизнеса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144043" w:rsidP="00FD5947">
            <w:pPr>
              <w:widowControl w:val="0"/>
              <w:autoSpaceDE w:val="0"/>
              <w:autoSpaceDN w:val="0"/>
              <w:adjustRightInd w:val="0"/>
              <w:jc w:val="center"/>
              <w:rPr>
                <w:rFonts w:eastAsiaTheme="minorEastAsia" w:cs="Times New Roman"/>
                <w:sz w:val="24"/>
                <w:szCs w:val="24"/>
                <w:lang w:eastAsia="ru-RU"/>
              </w:rPr>
            </w:pPr>
            <w:r>
              <w:rPr>
                <w:rFonts w:eastAsiaTheme="minorEastAsia" w:cs="Times New Roman"/>
                <w:sz w:val="24"/>
                <w:szCs w:val="24"/>
                <w:lang w:eastAsia="ru-RU"/>
              </w:rPr>
              <w:t>5</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w:t>
      </w:r>
      <w:r w:rsidR="00C05AA6" w:rsidRPr="00C05AA6">
        <w:rPr>
          <w:rFonts w:ascii="Times New Roman" w:hAnsi="Times New Roman" w:cs="Times New Roman"/>
          <w:b/>
          <w:sz w:val="24"/>
          <w:szCs w:val="24"/>
        </w:rPr>
        <w:t>Развитие потребительского рынка и услуг на территории муниципального образования Московской области</w:t>
      </w:r>
      <w:r w:rsidRPr="006E59DF">
        <w:rPr>
          <w:rFonts w:ascii="Times New Roman" w:hAnsi="Times New Roman" w:cs="Times New Roman"/>
          <w:b/>
          <w:sz w:val="24"/>
          <w:szCs w:val="24"/>
        </w:rPr>
        <w:t>»</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xml:space="preserve">– площадь торговых объектов предприятий розничной торговли на территории муниципального образования Московской </w:t>
            </w:r>
            <w:r w:rsidRPr="006E59DF">
              <w:rPr>
                <w:rFonts w:ascii="Times New Roman" w:eastAsia="Calibri" w:hAnsi="Times New Roman" w:cs="Times New Roman"/>
                <w:sz w:val="18"/>
                <w:szCs w:val="18"/>
              </w:rPr>
              <w:lastRenderedPageBreak/>
              <w:t>области, кв. м;</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 xml:space="preserve">Данные Федеральной службы государственной статистики (далее - Росстат) о численности населения муниципальных образований Московской области и данные </w:t>
            </w:r>
            <w:r w:rsidRPr="006E59DF">
              <w:rPr>
                <w:rFonts w:ascii="Times New Roman" w:eastAsia="Calibri" w:hAnsi="Times New Roman" w:cs="Times New Roman"/>
                <w:sz w:val="18"/>
                <w:szCs w:val="18"/>
              </w:rPr>
              <w:lastRenderedPageBreak/>
              <w:t>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883931"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883931">
              <w:rPr>
                <w:rFonts w:ascii="Times New Roman" w:eastAsiaTheme="minorEastAsia" w:hAnsi="Times New Roman" w:cs="Times New Roman"/>
                <w:i/>
                <w:sz w:val="18"/>
                <w:szCs w:val="18"/>
                <w:lang w:eastAsia="ru-RU"/>
              </w:rPr>
              <w:t>Показатель 3</w:t>
            </w:r>
          </w:p>
          <w:p w:rsidR="00611B07" w:rsidRPr="00883931" w:rsidRDefault="005E00F6" w:rsidP="005E00F6">
            <w:pPr>
              <w:rPr>
                <w:rFonts w:ascii="Times New Roman" w:eastAsiaTheme="minorEastAsia" w:hAnsi="Times New Roman" w:cs="Times New Roman"/>
                <w:i/>
                <w:sz w:val="18"/>
                <w:szCs w:val="18"/>
                <w:lang w:eastAsia="ru-RU"/>
              </w:rPr>
            </w:pPr>
            <w:r w:rsidRPr="00883931">
              <w:rPr>
                <w:rFonts w:ascii="Times New Roman" w:hAnsi="Times New Roman" w:cs="Times New Roman"/>
                <w:sz w:val="18"/>
                <w:szCs w:val="18"/>
              </w:rPr>
              <w:t>Стандарт потребительского рынка и услуг</w:t>
            </w:r>
          </w:p>
        </w:tc>
        <w:tc>
          <w:tcPr>
            <w:tcW w:w="1046" w:type="dxa"/>
          </w:tcPr>
          <w:p w:rsidR="00611B07" w:rsidRPr="00883931"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883931">
              <w:rPr>
                <w:rFonts w:ascii="Times New Roman" w:eastAsiaTheme="minorEastAsia" w:hAnsi="Times New Roman" w:cs="Times New Roman"/>
                <w:sz w:val="18"/>
                <w:szCs w:val="18"/>
                <w:lang w:eastAsia="ru-RU"/>
              </w:rPr>
              <w:t>баллы</w:t>
            </w:r>
          </w:p>
        </w:tc>
        <w:tc>
          <w:tcPr>
            <w:tcW w:w="5528" w:type="dxa"/>
          </w:tcPr>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proofErr w:type="spellStart"/>
            <w:r w:rsidRPr="00883931">
              <w:rPr>
                <w:rFonts w:ascii="Times New Roman" w:eastAsia="Calibri" w:hAnsi="Times New Roman" w:cs="Times New Roman"/>
                <w:sz w:val="18"/>
                <w:szCs w:val="18"/>
              </w:rPr>
              <w:t>Ст</w:t>
            </w:r>
            <w:proofErr w:type="spellEnd"/>
            <w:r w:rsidRPr="00883931">
              <w:rPr>
                <w:rFonts w:ascii="Times New Roman" w:eastAsia="Calibri" w:hAnsi="Times New Roman" w:cs="Times New Roman"/>
                <w:sz w:val="18"/>
                <w:szCs w:val="18"/>
              </w:rPr>
              <w:t xml:space="preserve"> = 900 – Т – А – О + J,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proofErr w:type="spellStart"/>
            <w:r w:rsidRPr="00883931">
              <w:rPr>
                <w:rFonts w:ascii="Times New Roman" w:eastAsia="Calibri" w:hAnsi="Times New Roman" w:cs="Times New Roman"/>
                <w:b/>
                <w:bCs/>
                <w:sz w:val="18"/>
                <w:szCs w:val="18"/>
              </w:rPr>
              <w:t>Ст</w:t>
            </w:r>
            <w:proofErr w:type="spellEnd"/>
            <w:r w:rsidRPr="00883931">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Т</w:t>
            </w:r>
            <w:r w:rsidRPr="00883931">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w:t>
            </w:r>
            <w:proofErr w:type="gramStart"/>
            <w:r w:rsidRPr="00883931">
              <w:rPr>
                <w:rFonts w:ascii="Times New Roman" w:eastAsia="Calibri" w:hAnsi="Times New Roman" w:cs="Times New Roman"/>
                <w:sz w:val="18"/>
                <w:szCs w:val="18"/>
              </w:rPr>
              <w:t>баллов.*</w:t>
            </w:r>
            <w:proofErr w:type="gramEnd"/>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А</w:t>
            </w:r>
            <w:r w:rsidRPr="00883931">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внесении всех объектов в установленные сроки А равно 0;</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w:t>
            </w:r>
            <w:r w:rsidRPr="00883931">
              <w:rPr>
                <w:rFonts w:ascii="Times New Roman" w:eastAsia="Calibri" w:hAnsi="Times New Roman" w:cs="Times New Roman"/>
                <w:sz w:val="18"/>
                <w:szCs w:val="18"/>
              </w:rPr>
              <w:lastRenderedPageBreak/>
              <w:t>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J</w:t>
            </w:r>
            <w:r w:rsidRPr="00883931">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883931"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883931">
              <w:rPr>
                <w:rFonts w:ascii="Times New Roman" w:eastAsia="Calibri" w:hAnsi="Times New Roman" w:cs="Times New Roman"/>
                <w:b/>
                <w:bCs/>
                <w:sz w:val="18"/>
                <w:szCs w:val="18"/>
              </w:rPr>
              <w:t>Т = Н + Р + Я</w:t>
            </w:r>
            <w:r w:rsidRPr="00883931">
              <w:rPr>
                <w:rFonts w:ascii="Times New Roman" w:eastAsia="Calibri" w:hAnsi="Times New Roman" w:cs="Times New Roman"/>
                <w:sz w:val="18"/>
                <w:szCs w:val="18"/>
              </w:rPr>
              <w:t>,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Н</w:t>
            </w:r>
            <w:r w:rsidRPr="00883931">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Р = K + Q, где</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Р</w:t>
            </w:r>
            <w:r w:rsidRPr="00883931">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K</w:t>
            </w:r>
            <w:r w:rsidRPr="00883931">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Q</w:t>
            </w:r>
            <w:r w:rsidRPr="00883931">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территории рынка бетонного, асфальтового, </w:t>
            </w:r>
            <w:r w:rsidRPr="00883931">
              <w:rPr>
                <w:rFonts w:ascii="Times New Roman" w:eastAsia="Calibri" w:hAnsi="Times New Roman" w:cs="Times New Roman"/>
                <w:sz w:val="18"/>
                <w:szCs w:val="18"/>
              </w:rPr>
              <w:lastRenderedPageBreak/>
              <w:t>замощенного или иного твердого покрытия, 0,5 балла за каждый факт;</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ограждения по периметру </w:t>
            </w:r>
            <w:proofErr w:type="gramStart"/>
            <w:r w:rsidRPr="00883931">
              <w:rPr>
                <w:rFonts w:ascii="Times New Roman" w:eastAsia="Calibri" w:hAnsi="Times New Roman" w:cs="Times New Roman"/>
                <w:sz w:val="18"/>
                <w:szCs w:val="18"/>
              </w:rPr>
              <w:t>рынка,  въездов</w:t>
            </w:r>
            <w:proofErr w:type="gramEnd"/>
            <w:r w:rsidRPr="00883931">
              <w:rPr>
                <w:rFonts w:ascii="Times New Roman" w:eastAsia="Calibri" w:hAnsi="Times New Roman" w:cs="Times New Roman"/>
                <w:sz w:val="18"/>
                <w:szCs w:val="18"/>
              </w:rPr>
              <w:t>-выездов и пешеходных дорожек,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пандусов и иных </w:t>
            </w:r>
            <w:proofErr w:type="gramStart"/>
            <w:r w:rsidRPr="00883931">
              <w:rPr>
                <w:rFonts w:ascii="Times New Roman" w:eastAsia="Calibri" w:hAnsi="Times New Roman" w:cs="Times New Roman"/>
                <w:sz w:val="18"/>
                <w:szCs w:val="18"/>
              </w:rPr>
              <w:t>приспособлений,  обеспечивающих</w:t>
            </w:r>
            <w:proofErr w:type="gramEnd"/>
            <w:r w:rsidRPr="00883931">
              <w:rPr>
                <w:rFonts w:ascii="Times New Roman" w:eastAsia="Calibri" w:hAnsi="Times New Roman" w:cs="Times New Roman"/>
                <w:sz w:val="18"/>
                <w:szCs w:val="18"/>
              </w:rPr>
              <w:t xml:space="preserve">  доступность здания рынка для инвалидов и других маломобильных групп населения,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расстояния</w:t>
            </w:r>
            <w:proofErr w:type="gramEnd"/>
            <w:r w:rsidRPr="00883931">
              <w:rPr>
                <w:rFonts w:ascii="Times New Roman" w:eastAsia="Calibri" w:hAnsi="Times New Roman" w:cs="Times New Roman"/>
                <w:sz w:val="18"/>
                <w:szCs w:val="18"/>
              </w:rPr>
              <w:t xml:space="preserve">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w:t>
            </w:r>
            <w:proofErr w:type="gramStart"/>
            <w:r w:rsidRPr="00883931">
              <w:rPr>
                <w:rFonts w:ascii="Times New Roman" w:eastAsia="Calibri" w:hAnsi="Times New Roman" w:cs="Times New Roman"/>
                <w:sz w:val="18"/>
                <w:szCs w:val="18"/>
              </w:rPr>
              <w:t>отсутствие  лаборатории</w:t>
            </w:r>
            <w:proofErr w:type="gramEnd"/>
            <w:r w:rsidRPr="00883931">
              <w:rPr>
                <w:rFonts w:ascii="Times New Roman" w:eastAsia="Calibri" w:hAnsi="Times New Roman" w:cs="Times New Roman"/>
                <w:sz w:val="18"/>
                <w:szCs w:val="18"/>
              </w:rPr>
              <w:t xml:space="preserve">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обособленной от торговых мест стоянки для автотранспортных средств лиц,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отсутствие информационного стенда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отсутствие на рынке в доступном </w:t>
            </w:r>
            <w:proofErr w:type="gramStart"/>
            <w:r w:rsidRPr="00883931">
              <w:rPr>
                <w:rFonts w:ascii="Times New Roman" w:eastAsia="Calibri" w:hAnsi="Times New Roman" w:cs="Times New Roman"/>
                <w:sz w:val="18"/>
                <w:szCs w:val="18"/>
              </w:rPr>
              <w:t>месте  соответствующие</w:t>
            </w:r>
            <w:proofErr w:type="gramEnd"/>
            <w:r w:rsidRPr="00883931">
              <w:rPr>
                <w:rFonts w:ascii="Times New Roman" w:eastAsia="Calibri" w:hAnsi="Times New Roman" w:cs="Times New Roman"/>
                <w:sz w:val="18"/>
                <w:szCs w:val="18"/>
              </w:rPr>
              <w:t xml:space="preserve"> метрологическим правилам и нормам измерительных приборов, 0,5 балла за каждый факт;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предоставление торговых мест </w:t>
            </w:r>
            <w:proofErr w:type="gramStart"/>
            <w:r w:rsidRPr="00883931">
              <w:rPr>
                <w:rFonts w:ascii="Times New Roman" w:eastAsia="Calibri" w:hAnsi="Times New Roman" w:cs="Times New Roman"/>
                <w:sz w:val="18"/>
                <w:szCs w:val="18"/>
              </w:rPr>
              <w:t>не  в</w:t>
            </w:r>
            <w:proofErr w:type="gramEnd"/>
            <w:r w:rsidRPr="00883931">
              <w:rPr>
                <w:rFonts w:ascii="Times New Roman" w:eastAsia="Calibri" w:hAnsi="Times New Roman" w:cs="Times New Roman"/>
                <w:sz w:val="18"/>
                <w:szCs w:val="18"/>
              </w:rPr>
              <w:t xml:space="preserve"> соответствии со схемой размещения торговых мест,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Я</w:t>
            </w:r>
            <w:r w:rsidRPr="00883931">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включенной в Реестр ярмарок, организуемых на территории муниципального </w:t>
            </w:r>
            <w:proofErr w:type="spellStart"/>
            <w:r w:rsidRPr="00883931">
              <w:rPr>
                <w:rFonts w:ascii="Times New Roman" w:eastAsia="Calibri" w:hAnsi="Times New Roman" w:cs="Times New Roman"/>
                <w:sz w:val="18"/>
                <w:szCs w:val="18"/>
              </w:rPr>
              <w:t>бразования</w:t>
            </w:r>
            <w:proofErr w:type="spellEnd"/>
            <w:r w:rsidRPr="00883931">
              <w:rPr>
                <w:rFonts w:ascii="Times New Roman" w:eastAsia="Calibri" w:hAnsi="Times New Roman" w:cs="Times New Roman"/>
                <w:sz w:val="18"/>
                <w:szCs w:val="18"/>
              </w:rPr>
              <w:t>,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вывески с указанием информации об организаторе ярмарки, его наименовании, месте его нахождения, режиме работы ярмарки,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информационного стенда,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 наличие в месте проведения ярмарки заглубленных конструкций, размещение ярмарочных конструкций на газонах,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А=(К1-К2) х К3,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А </w:t>
            </w:r>
            <w:r w:rsidRPr="00883931">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w:t>
            </w:r>
            <w:r w:rsidRPr="00883931">
              <w:rPr>
                <w:rFonts w:ascii="Times New Roman" w:eastAsia="Calibri" w:hAnsi="Times New Roman" w:cs="Times New Roman"/>
                <w:sz w:val="18"/>
                <w:szCs w:val="18"/>
              </w:rPr>
              <w:lastRenderedPageBreak/>
              <w:t>потребления (распития) алкогольной продукции»);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 xml:space="preserve">К2 </w:t>
            </w:r>
            <w:r w:rsidRPr="00883931">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количество дней просрочки внесения сведений в РГИС.</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Количество баллов в части данной составляющей рассчитывается по </w:t>
            </w:r>
            <w:proofErr w:type="gramStart"/>
            <w:r w:rsidRPr="00883931">
              <w:rPr>
                <w:rFonts w:ascii="Times New Roman" w:eastAsia="Calibri" w:hAnsi="Times New Roman" w:cs="Times New Roman"/>
                <w:sz w:val="18"/>
                <w:szCs w:val="18"/>
              </w:rPr>
              <w:t>формуле:</w:t>
            </w:r>
            <w:r w:rsidR="00C018D3" w:rsidRPr="00883931">
              <w:rPr>
                <w:rFonts w:ascii="Times New Roman" w:eastAsia="Calibri" w:hAnsi="Times New Roman" w:cs="Times New Roman"/>
                <w:sz w:val="18"/>
                <w:szCs w:val="18"/>
              </w:rPr>
              <w:t xml:space="preserve">  </w:t>
            </w:r>
            <w:r w:rsidRPr="00883931">
              <w:rPr>
                <w:rFonts w:ascii="Times New Roman" w:eastAsia="Calibri" w:hAnsi="Times New Roman" w:cs="Times New Roman"/>
                <w:sz w:val="18"/>
                <w:szCs w:val="18"/>
              </w:rPr>
              <w:t>О</w:t>
            </w:r>
            <w:proofErr w:type="gramEnd"/>
            <w:r w:rsidRPr="00883931">
              <w:rPr>
                <w:rFonts w:ascii="Times New Roman" w:eastAsia="Calibri" w:hAnsi="Times New Roman" w:cs="Times New Roman"/>
                <w:sz w:val="18"/>
                <w:szCs w:val="18"/>
              </w:rPr>
              <w:t xml:space="preserve"> = 300 - Со,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О</w:t>
            </w:r>
            <w:r w:rsidRPr="00883931">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Со</w:t>
            </w:r>
            <w:r w:rsidRPr="00883931">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Σᴘ1</w:t>
            </w:r>
            <w:r w:rsidRPr="00883931">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К1</w:t>
            </w:r>
            <w:r w:rsidRPr="00883931">
              <w:rPr>
                <w:rFonts w:ascii="Times New Roman" w:eastAsia="Calibri" w:hAnsi="Times New Roman" w:cs="Times New Roman"/>
                <w:sz w:val="18"/>
                <w:szCs w:val="18"/>
              </w:rPr>
              <w:t xml:space="preserve"> – коэффициент равен 3,75;</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Σᴘ2</w:t>
            </w:r>
            <w:r w:rsidRPr="00883931">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К2</w:t>
            </w:r>
            <w:r w:rsidRPr="00883931">
              <w:rPr>
                <w:rFonts w:ascii="Times New Roman" w:eastAsia="Calibri" w:hAnsi="Times New Roman" w:cs="Times New Roman"/>
                <w:sz w:val="18"/>
                <w:szCs w:val="18"/>
              </w:rPr>
              <w:t xml:space="preserve"> – коэффициент равен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Σᴘ3</w:t>
            </w:r>
            <w:r w:rsidRPr="00883931">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К3</w:t>
            </w:r>
            <w:r w:rsidRPr="00883931">
              <w:rPr>
                <w:rFonts w:ascii="Times New Roman" w:eastAsia="Calibri" w:hAnsi="Times New Roman" w:cs="Times New Roman"/>
                <w:sz w:val="18"/>
                <w:szCs w:val="18"/>
              </w:rPr>
              <w:t xml:space="preserve"> – коэффициент равен 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b/>
                <w:bCs/>
                <w:sz w:val="18"/>
                <w:szCs w:val="18"/>
              </w:rPr>
              <w:t>n</w:t>
            </w:r>
            <w:r w:rsidRPr="00883931">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Первый раздел – параметры, относящиеся к коэффициенту К1:</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 Подтверждающие регистрацию юридического лица/ИП документы;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 Наличие прав на земельный участок;</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3) Соответствует противопожарной безопасности;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5) Соответствие архитектурному облику;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6) Налог на имущество;</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7) Земельный налог;</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8) НДФЛ;</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9) Налог на прибыль;</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10) НДС;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12) Соответствие внешнего вида кровли. Материалы-</w:t>
            </w:r>
            <w:proofErr w:type="spellStart"/>
            <w:r w:rsidRPr="00883931">
              <w:rPr>
                <w:rFonts w:ascii="Times New Roman" w:eastAsia="Calibri" w:hAnsi="Times New Roman" w:cs="Times New Roman"/>
                <w:sz w:val="18"/>
                <w:szCs w:val="18"/>
              </w:rPr>
              <w:t>цветоносители</w:t>
            </w:r>
            <w:proofErr w:type="spellEnd"/>
            <w:r w:rsidRPr="00883931">
              <w:rPr>
                <w:rFonts w:ascii="Times New Roman" w:eastAsia="Calibri" w:hAnsi="Times New Roman" w:cs="Times New Roman"/>
                <w:sz w:val="18"/>
                <w:szCs w:val="18"/>
              </w:rPr>
              <w:t xml:space="preserve"> эксплуатационного слоя кровли и иных визуально-воспринимаемых элементов крыши;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14) Соответствие внешнего вида средств размещения информации;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16) Соответствие внешнего вида ограждений и заборов.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Второй раздел – параметр, относящийся к коэффициенту К2:</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Третий раздел – параметры, относящиеся к коэффициенту К3:</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18) Наличие уголка потребителя;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19) Наличие пандуса для инвалидов;</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Каждый параметр может иметь значение 0 – в случае </w:t>
            </w:r>
            <w:proofErr w:type="spellStart"/>
            <w:r w:rsidRPr="00883931">
              <w:rPr>
                <w:rFonts w:ascii="Times New Roman" w:eastAsia="Calibri" w:hAnsi="Times New Roman" w:cs="Times New Roman"/>
                <w:sz w:val="18"/>
                <w:szCs w:val="18"/>
              </w:rPr>
              <w:t>есоответствия</w:t>
            </w:r>
            <w:proofErr w:type="spellEnd"/>
            <w:r w:rsidRPr="00883931">
              <w:rPr>
                <w:rFonts w:ascii="Times New Roman" w:eastAsia="Calibri" w:hAnsi="Times New Roman" w:cs="Times New Roman"/>
                <w:sz w:val="18"/>
                <w:szCs w:val="18"/>
              </w:rPr>
              <w:t xml:space="preserve">, отсутствия данных или некорректного заполнения, и 1 – в случае соответствия. </w:t>
            </w:r>
          </w:p>
          <w:p w:rsidR="00611B07" w:rsidRPr="00883931" w:rsidRDefault="00611B07" w:rsidP="00611B07">
            <w:pPr>
              <w:widowControl w:val="0"/>
              <w:autoSpaceDE w:val="0"/>
              <w:autoSpaceDN w:val="0"/>
              <w:adjustRightInd w:val="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Параметр 17 (соответствие ВРИ) играет ключевую роль при оценке и его коэффициент составляет 30%.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Соответственно, весь диапазон оценки отдельного ОДС будет состоять из суммы данных трех разделов и составлять от 0 до 100 % (60+30+10).</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883931"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883931">
              <w:rPr>
                <w:rFonts w:ascii="Times New Roman" w:eastAsia="Calibri" w:hAnsi="Times New Roman" w:cs="Times New Roman"/>
                <w:b/>
                <w:bCs/>
                <w:sz w:val="18"/>
                <w:szCs w:val="18"/>
              </w:rPr>
              <w:t>Проведение тематических ярмарочных мероприятий.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10 баллов присваивается каждому ярмарочному </w:t>
            </w:r>
            <w:proofErr w:type="gramStart"/>
            <w:r w:rsidRPr="00883931">
              <w:rPr>
                <w:rFonts w:ascii="Times New Roman" w:eastAsia="Calibri" w:hAnsi="Times New Roman" w:cs="Times New Roman"/>
                <w:sz w:val="18"/>
                <w:szCs w:val="18"/>
              </w:rPr>
              <w:t>мероприятию,  отвечающему</w:t>
            </w:r>
            <w:proofErr w:type="gramEnd"/>
            <w:r w:rsidRPr="00883931">
              <w:rPr>
                <w:rFonts w:ascii="Times New Roman" w:eastAsia="Calibri" w:hAnsi="Times New Roman" w:cs="Times New Roman"/>
                <w:sz w:val="18"/>
                <w:szCs w:val="18"/>
              </w:rPr>
              <w:t xml:space="preserve"> следующим критериям:</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наличие развлекательной программы;</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в том числе по благоустройству;</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883931"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w:t>
            </w:r>
            <w:r w:rsidR="00611B07" w:rsidRPr="00883931">
              <w:rPr>
                <w:rFonts w:ascii="Times New Roman" w:eastAsia="Calibri" w:hAnsi="Times New Roman" w:cs="Times New Roman"/>
                <w:sz w:val="18"/>
                <w:szCs w:val="18"/>
              </w:rPr>
              <w:t>информация о планируемых ярмарках на территории</w:t>
            </w:r>
            <w:r w:rsidRPr="00883931">
              <w:rPr>
                <w:rFonts w:ascii="Times New Roman" w:eastAsia="Calibri" w:hAnsi="Times New Roman" w:cs="Times New Roman"/>
                <w:sz w:val="18"/>
                <w:szCs w:val="18"/>
              </w:rPr>
              <w:t xml:space="preserve"> </w:t>
            </w:r>
            <w:r w:rsidR="00611B07" w:rsidRPr="00883931">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883931"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w:t>
            </w:r>
            <w:r w:rsidR="00611B07" w:rsidRPr="00883931">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883931"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Информация предоставляется в Минсельхозпрод МО </w:t>
            </w:r>
            <w:r w:rsidR="001F5C5D" w:rsidRPr="00883931">
              <w:rPr>
                <w:rFonts w:ascii="Times New Roman" w:eastAsia="Calibri" w:hAnsi="Times New Roman" w:cs="Times New Roman"/>
                <w:sz w:val="18"/>
                <w:szCs w:val="18"/>
              </w:rPr>
              <w:t>у</w:t>
            </w:r>
            <w:r w:rsidRPr="00883931">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организации деятельности розничных рынков;</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«ОДС (открытые данные)» в РГИС; </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мониторинг земельных участков под ОДС;</w:t>
            </w:r>
          </w:p>
          <w:p w:rsidR="00611B07" w:rsidRPr="00883931"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883931">
              <w:rPr>
                <w:rFonts w:ascii="Times New Roman" w:eastAsia="Calibri" w:hAnsi="Times New Roman" w:cs="Times New Roman"/>
                <w:sz w:val="18"/>
                <w:szCs w:val="18"/>
              </w:rPr>
              <w:t xml:space="preserve">Слой «Зоны запрета розничной продажи алкогольной продукции» </w:t>
            </w:r>
          </w:p>
          <w:p w:rsidR="00611B07" w:rsidRPr="00883931" w:rsidRDefault="00611B07" w:rsidP="00611B07">
            <w:pPr>
              <w:widowControl w:val="0"/>
              <w:autoSpaceDE w:val="0"/>
              <w:autoSpaceDN w:val="0"/>
              <w:adjustRightInd w:val="0"/>
              <w:spacing w:after="0"/>
              <w:rPr>
                <w:rFonts w:eastAsiaTheme="minorEastAsia" w:cs="Times New Roman"/>
                <w:sz w:val="18"/>
                <w:szCs w:val="18"/>
                <w:lang w:eastAsia="ru-RU"/>
              </w:rPr>
            </w:pPr>
            <w:r w:rsidRPr="00883931">
              <w:rPr>
                <w:rFonts w:ascii="Times New Roman" w:eastAsia="Calibri" w:hAnsi="Times New Roman" w:cs="Times New Roman"/>
                <w:sz w:val="18"/>
                <w:szCs w:val="18"/>
              </w:rPr>
              <w:t>в РГИС.</w:t>
            </w:r>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4</w:t>
            </w:r>
          </w:p>
          <w:p w:rsidR="00611B07" w:rsidRPr="006E59DF" w:rsidRDefault="00611B07" w:rsidP="00611B07">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5</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7</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7</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единица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3431" w:type="dxa"/>
          </w:tcPr>
          <w:p w:rsidR="00611B07" w:rsidRPr="006E59DF" w:rsidRDefault="00611B07" w:rsidP="00611B07">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8</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8</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611B07" w:rsidRPr="006E59DF" w:rsidRDefault="00611B07" w:rsidP="00611B07">
            <w:pPr>
              <w:rPr>
                <w:rFonts w:ascii="Times New Roman" w:hAnsi="Times New Roman" w:cs="Times New Roman"/>
                <w:i/>
                <w:sz w:val="18"/>
                <w:szCs w:val="18"/>
              </w:rPr>
            </w:pP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процент</w:t>
            </w:r>
          </w:p>
        </w:tc>
        <w:tc>
          <w:tcPr>
            <w:tcW w:w="5528" w:type="dxa"/>
          </w:tcPr>
          <w:p w:rsidR="00611B07" w:rsidRPr="006E59DF" w:rsidRDefault="00611B07" w:rsidP="00611B07">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rsidR="00611B07" w:rsidRPr="006E59DF" w:rsidRDefault="00611B07" w:rsidP="00611B07">
            <w:pPr>
              <w:widowControl w:val="0"/>
              <w:autoSpaceDE w:val="0"/>
              <w:autoSpaceDN w:val="0"/>
              <w:adjustRightInd w:val="0"/>
              <w:spacing w:after="0"/>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611B07" w:rsidRPr="006E59DF" w:rsidRDefault="00611B07" w:rsidP="00611B07">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611B07" w:rsidRPr="006E59DF" w:rsidRDefault="00611B07" w:rsidP="00611B07">
            <w:pPr>
              <w:widowControl w:val="0"/>
              <w:autoSpaceDE w:val="0"/>
              <w:autoSpaceDN w:val="0"/>
              <w:adjustRightInd w:val="0"/>
              <w:rPr>
                <w:rFonts w:eastAsia="Calibri"/>
                <w:sz w:val="18"/>
                <w:szCs w:val="18"/>
              </w:rPr>
            </w:pPr>
            <w:proofErr w:type="spellStart"/>
            <w:r w:rsidRPr="006E59DF">
              <w:rPr>
                <w:rFonts w:eastAsia="Calibri"/>
                <w:sz w:val="18"/>
                <w:szCs w:val="18"/>
              </w:rPr>
              <w:lastRenderedPageBreak/>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lastRenderedPageBreak/>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технологических парков, промышленных площадок</w:t>
            </w:r>
            <w:r w:rsidR="002B192E">
              <w:rPr>
                <w:rFonts w:ascii="Times New Roman" w:hAnsi="Times New Roman" w:cs="Times New Roman"/>
                <w:sz w:val="20"/>
                <w:szCs w:val="20"/>
              </w:rPr>
              <w:t>.</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lastRenderedPageBreak/>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lastRenderedPageBreak/>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lastRenderedPageBreak/>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lastRenderedPageBreak/>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w:t>
            </w:r>
            <w:r w:rsidR="005631A6">
              <w:rPr>
                <w:rFonts w:ascii="Times New Roman" w:hAnsi="Times New Roman" w:cs="Times New Roman"/>
                <w:sz w:val="20"/>
                <w:szCs w:val="20"/>
              </w:rPr>
              <w:t>0</w:t>
            </w:r>
            <w:r w:rsidRPr="002F3450">
              <w:rPr>
                <w:rFonts w:ascii="Times New Roman" w:hAnsi="Times New Roman" w:cs="Times New Roman"/>
                <w:sz w:val="20"/>
                <w:szCs w:val="20"/>
              </w:rPr>
              <w:t>8.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400788" w:rsidP="00AF15E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w:t>
            </w:r>
            <w:r w:rsidR="00AF15E1" w:rsidRPr="002F3450">
              <w:rPr>
                <w:rFonts w:ascii="Times New Roman" w:hAnsi="Times New Roman" w:cs="Times New Roman"/>
                <w:sz w:val="20"/>
                <w:szCs w:val="20"/>
              </w:rPr>
              <w:t>8.</w:t>
            </w:r>
            <w:r>
              <w:rPr>
                <w:rFonts w:ascii="Times New Roman" w:hAnsi="Times New Roman" w:cs="Times New Roman"/>
                <w:sz w:val="20"/>
                <w:szCs w:val="20"/>
              </w:rPr>
              <w:t xml:space="preserve">1. </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w:t>
            </w:r>
            <w:r w:rsidR="00C05AA6" w:rsidRPr="00C05AA6">
              <w:rPr>
                <w:rFonts w:ascii="Times New Roman" w:hAnsi="Times New Roman" w:cs="Times New Roman"/>
                <w:sz w:val="20"/>
                <w:szCs w:val="20"/>
              </w:rPr>
              <w:t>Развитие потребительского рынка и услуг на территории муниципального образования Московской области</w:t>
            </w:r>
            <w:r w:rsidRPr="008B706D">
              <w:rPr>
                <w:rFonts w:ascii="Times New Roman" w:hAnsi="Times New Roman" w:cs="Times New Roman"/>
                <w:sz w:val="20"/>
                <w:szCs w:val="20"/>
              </w:rPr>
              <w:t>»</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5A287F" w:rsidRPr="005A287F" w:rsidRDefault="005A287F" w:rsidP="005A287F">
      <w:pPr>
        <w:pStyle w:val="ConsPlusNormal"/>
        <w:ind w:firstLine="54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7. </w:t>
      </w:r>
      <w:r w:rsidRPr="005A287F">
        <w:rPr>
          <w:rFonts w:ascii="Times New Roman" w:hAnsi="Times New Roman" w:cs="Times New Roman"/>
          <w:b/>
          <w:bCs/>
          <w:sz w:val="24"/>
          <w:szCs w:val="24"/>
          <w:lang w:eastAsia="en-US"/>
        </w:rPr>
        <w:t>Порядок взаимодействия ответственного за выполнение мероприятия с муниципальным заказчиком подпрограммы</w:t>
      </w:r>
      <w:r>
        <w:rPr>
          <w:rFonts w:ascii="Times New Roman" w:hAnsi="Times New Roman" w:cs="Times New Roman"/>
          <w:b/>
          <w:bCs/>
          <w:sz w:val="24"/>
          <w:szCs w:val="24"/>
          <w:lang w:eastAsia="en-US"/>
        </w:rPr>
        <w:t>.</w:t>
      </w:r>
    </w:p>
    <w:p w:rsidR="005A287F" w:rsidRPr="005A287F" w:rsidRDefault="005A287F" w:rsidP="005A287F">
      <w:pPr>
        <w:pStyle w:val="ConsPlusNormal"/>
        <w:spacing w:before="120"/>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 xml:space="preserve">Контроль за реализацией подпрограмм осуществляется </w:t>
      </w:r>
      <w:proofErr w:type="gramStart"/>
      <w:r>
        <w:rPr>
          <w:rFonts w:ascii="Times New Roman" w:hAnsi="Times New Roman" w:cs="Times New Roman"/>
          <w:sz w:val="24"/>
          <w:szCs w:val="24"/>
          <w:lang w:eastAsia="en-US"/>
        </w:rPr>
        <w:t xml:space="preserve">муниципальными </w:t>
      </w:r>
      <w:r w:rsidRPr="005A287F">
        <w:rPr>
          <w:rFonts w:ascii="Times New Roman" w:hAnsi="Times New Roman" w:cs="Times New Roman"/>
          <w:sz w:val="24"/>
          <w:szCs w:val="24"/>
          <w:lang w:eastAsia="en-US"/>
        </w:rPr>
        <w:t xml:space="preserve"> заказчиками</w:t>
      </w:r>
      <w:proofErr w:type="gramEnd"/>
      <w:r w:rsidRPr="005A287F">
        <w:rPr>
          <w:rFonts w:ascii="Times New Roman" w:hAnsi="Times New Roman" w:cs="Times New Roman"/>
          <w:sz w:val="24"/>
          <w:szCs w:val="24"/>
          <w:lang w:eastAsia="en-US"/>
        </w:rPr>
        <w:t xml:space="preserve"> подпрограмм.</w:t>
      </w:r>
      <w:r>
        <w:rPr>
          <w:rFonts w:ascii="Times New Roman" w:hAnsi="Times New Roman" w:cs="Times New Roman"/>
          <w:sz w:val="24"/>
          <w:szCs w:val="24"/>
          <w:lang w:eastAsia="en-US"/>
        </w:rPr>
        <w:t xml:space="preserve"> </w:t>
      </w:r>
      <w:r w:rsidRPr="005A287F">
        <w:rPr>
          <w:rFonts w:ascii="Times New Roman" w:hAnsi="Times New Roman" w:cs="Times New Roman"/>
          <w:sz w:val="24"/>
          <w:szCs w:val="24"/>
          <w:lang w:eastAsia="en-US"/>
        </w:rPr>
        <w:t xml:space="preserve">Взаимодействие ответственного за выполнение мероприятия подпрограммы с </w:t>
      </w:r>
      <w:r>
        <w:rPr>
          <w:rFonts w:ascii="Times New Roman" w:hAnsi="Times New Roman" w:cs="Times New Roman"/>
          <w:sz w:val="24"/>
          <w:szCs w:val="24"/>
          <w:lang w:eastAsia="en-US"/>
        </w:rPr>
        <w:t>муниципальным</w:t>
      </w:r>
      <w:r w:rsidRPr="005A287F">
        <w:rPr>
          <w:rFonts w:ascii="Times New Roman" w:hAnsi="Times New Roman" w:cs="Times New Roman"/>
          <w:sz w:val="24"/>
          <w:szCs w:val="24"/>
          <w:lang w:eastAsia="en-US"/>
        </w:rPr>
        <w:t xml:space="preserve"> заказчиком программы (подпрограммы) осуществляется на основании </w:t>
      </w:r>
      <w:hyperlink r:id="rId17" w:history="1">
        <w:r w:rsidRPr="005A287F">
          <w:rPr>
            <w:rFonts w:ascii="Times New Roman" w:hAnsi="Times New Roman" w:cs="Times New Roman"/>
            <w:sz w:val="24"/>
            <w:szCs w:val="24"/>
            <w:lang w:eastAsia="en-US"/>
          </w:rPr>
          <w:t>постановления</w:t>
        </w:r>
      </w:hyperlink>
      <w:r w:rsidRPr="005A287F">
        <w:rPr>
          <w:rFonts w:ascii="Times New Roman" w:hAnsi="Times New Roman" w:cs="Times New Roman"/>
          <w:sz w:val="24"/>
          <w:szCs w:val="24"/>
          <w:lang w:eastAsia="en-US"/>
        </w:rPr>
        <w:t xml:space="preserve"> </w:t>
      </w:r>
      <w:r w:rsidRPr="00167B63">
        <w:rPr>
          <w:rFonts w:ascii="Times New Roman" w:hAnsi="Times New Roman" w:cs="Times New Roman"/>
          <w:sz w:val="24"/>
          <w:szCs w:val="24"/>
        </w:rPr>
        <w:t xml:space="preserve">администрации </w:t>
      </w:r>
      <w:r>
        <w:rPr>
          <w:rFonts w:ascii="Times New Roman" w:hAnsi="Times New Roman" w:cs="Times New Roman"/>
          <w:sz w:val="24"/>
          <w:szCs w:val="24"/>
        </w:rPr>
        <w:t>г</w:t>
      </w:r>
      <w:r w:rsidRPr="00167B63">
        <w:rPr>
          <w:rFonts w:ascii="Times New Roman" w:hAnsi="Times New Roman" w:cs="Times New Roman"/>
          <w:sz w:val="24"/>
          <w:szCs w:val="24"/>
        </w:rPr>
        <w:t xml:space="preserve">ородского округа Истра № </w:t>
      </w:r>
      <w:r>
        <w:rPr>
          <w:rFonts w:ascii="Times New Roman" w:hAnsi="Times New Roman" w:cs="Times New Roman"/>
          <w:sz w:val="24"/>
          <w:szCs w:val="24"/>
        </w:rPr>
        <w:t>1904</w:t>
      </w:r>
      <w:r w:rsidRPr="00167B63">
        <w:rPr>
          <w:rFonts w:ascii="Times New Roman" w:hAnsi="Times New Roman" w:cs="Times New Roman"/>
          <w:sz w:val="24"/>
          <w:szCs w:val="24"/>
        </w:rPr>
        <w:t xml:space="preserve">/4 от </w:t>
      </w:r>
      <w:r>
        <w:rPr>
          <w:rFonts w:ascii="Times New Roman" w:hAnsi="Times New Roman" w:cs="Times New Roman"/>
          <w:sz w:val="24"/>
          <w:szCs w:val="24"/>
        </w:rPr>
        <w:t>17</w:t>
      </w:r>
      <w:r w:rsidRPr="00167B63">
        <w:rPr>
          <w:rFonts w:ascii="Times New Roman" w:hAnsi="Times New Roman" w:cs="Times New Roman"/>
          <w:sz w:val="24"/>
          <w:szCs w:val="24"/>
        </w:rPr>
        <w:t>.04.2018 «Об утверждении</w:t>
      </w:r>
      <w:r>
        <w:rPr>
          <w:rFonts w:ascii="Times New Roman" w:hAnsi="Times New Roman" w:cs="Times New Roman"/>
          <w:sz w:val="24"/>
          <w:szCs w:val="24"/>
        </w:rPr>
        <w:t xml:space="preserve"> новой редакции </w:t>
      </w:r>
      <w:r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r>
        <w:rPr>
          <w:rFonts w:ascii="Times New Roman" w:hAnsi="Times New Roman" w:cs="Times New Roman"/>
          <w:sz w:val="24"/>
          <w:szCs w:val="24"/>
        </w:rPr>
        <w:t xml:space="preserve"> </w:t>
      </w:r>
      <w:r w:rsidRPr="005A287F">
        <w:rPr>
          <w:rFonts w:ascii="Times New Roman" w:hAnsi="Times New Roman" w:cs="Times New Roman"/>
          <w:sz w:val="24"/>
          <w:szCs w:val="24"/>
          <w:lang w:eastAsia="en-US"/>
        </w:rPr>
        <w:t>Ответственный за выполнение мероприятия:</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1) формирует прогноз расходов на реализацию мероприятия и направляет его заказчику муниципальной программы;</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2) направляет заказчику подпрограммы предложения по формированию "Дорожных карт";</w:t>
      </w:r>
    </w:p>
    <w:p w:rsidR="005A287F" w:rsidRPr="005A287F" w:rsidRDefault="005A287F" w:rsidP="005A287F">
      <w:pPr>
        <w:pStyle w:val="ConsPlusNormal"/>
        <w:ind w:firstLine="709"/>
        <w:jc w:val="both"/>
        <w:rPr>
          <w:rFonts w:ascii="Times New Roman" w:hAnsi="Times New Roman" w:cs="Times New Roman"/>
          <w:sz w:val="24"/>
          <w:szCs w:val="24"/>
          <w:lang w:eastAsia="en-US"/>
        </w:rPr>
      </w:pPr>
      <w:r w:rsidRPr="005A287F">
        <w:rPr>
          <w:rFonts w:ascii="Times New Roman" w:hAnsi="Times New Roman" w:cs="Times New Roman"/>
          <w:sz w:val="24"/>
          <w:szCs w:val="24"/>
          <w:lang w:eastAsia="en-US"/>
        </w:rPr>
        <w:t>3) участвует в обсуждении вопросов, связанных с реализацией и финансированием в части соответствующего мероприятия;</w:t>
      </w:r>
    </w:p>
    <w:p w:rsidR="005A287F" w:rsidRDefault="005A287F" w:rsidP="005A287F">
      <w:pPr>
        <w:pStyle w:val="ConsPlusNormal"/>
        <w:ind w:firstLine="709"/>
        <w:jc w:val="both"/>
        <w:rPr>
          <w:rFonts w:ascii="Times New Roman" w:hAnsi="Times New Roman" w:cs="Times New Roman"/>
          <w:b/>
          <w:bCs/>
          <w:sz w:val="24"/>
          <w:szCs w:val="24"/>
        </w:rPr>
      </w:pPr>
      <w:r w:rsidRPr="005A287F">
        <w:rPr>
          <w:rFonts w:ascii="Times New Roman" w:hAnsi="Times New Roman" w:cs="Times New Roman"/>
          <w:sz w:val="24"/>
          <w:szCs w:val="24"/>
          <w:lang w:eastAsia="en-US"/>
        </w:rPr>
        <w:t>4) готовит и представляет заказчику муниципальной программы отчет о реализации мероприятия, отчет о выполнении мероприятий по объектам строительства, реконструкции и капитального ремонта.</w:t>
      </w:r>
    </w:p>
    <w:p w:rsidR="005A287F" w:rsidRDefault="005A287F" w:rsidP="005A287F">
      <w:pPr>
        <w:widowControl w:val="0"/>
        <w:spacing w:after="0" w:line="240" w:lineRule="auto"/>
        <w:ind w:left="360"/>
        <w:jc w:val="center"/>
        <w:rPr>
          <w:rFonts w:ascii="Times New Roman" w:hAnsi="Times New Roman" w:cs="Times New Roman"/>
          <w:b/>
          <w:bCs/>
          <w:sz w:val="24"/>
          <w:szCs w:val="24"/>
        </w:rPr>
      </w:pPr>
    </w:p>
    <w:p w:rsidR="00167B63" w:rsidRPr="00A77CD9" w:rsidRDefault="005A287F" w:rsidP="005A287F">
      <w:pPr>
        <w:widowControl w:val="0"/>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8</w:t>
      </w:r>
      <w:r w:rsidR="00167B63" w:rsidRPr="00A77CD9">
        <w:rPr>
          <w:rFonts w:ascii="Times New Roman" w:hAnsi="Times New Roman" w:cs="Times New Roman"/>
          <w:b/>
          <w:bCs/>
          <w:sz w:val="24"/>
          <w:szCs w:val="24"/>
        </w:rPr>
        <w:t>.</w:t>
      </w:r>
      <w:r w:rsidR="00CF2FED" w:rsidRPr="00A77CD9">
        <w:rPr>
          <w:rFonts w:ascii="Times New Roman" w:hAnsi="Times New Roman" w:cs="Times New Roman"/>
          <w:b/>
          <w:bCs/>
          <w:sz w:val="24"/>
          <w:szCs w:val="24"/>
        </w:rPr>
        <w:t xml:space="preserve"> </w:t>
      </w:r>
      <w:r w:rsidR="00167B63"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5A287F">
      <w:pPr>
        <w:widowControl w:val="0"/>
        <w:autoSpaceDE w:val="0"/>
        <w:autoSpaceDN w:val="0"/>
        <w:adjustRightInd w:val="0"/>
        <w:spacing w:line="240" w:lineRule="auto"/>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8"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lastRenderedPageBreak/>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 xml:space="preserve">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w:t>
      </w:r>
      <w:r w:rsidRPr="00666AB7">
        <w:rPr>
          <w:rFonts w:ascii="Times New Roman" w:hAnsi="Times New Roman" w:cs="Times New Roman"/>
          <w:sz w:val="24"/>
          <w:szCs w:val="24"/>
        </w:rPr>
        <w:lastRenderedPageBreak/>
        <w:t>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область, городской округ Истра, </w:t>
      </w:r>
      <w:proofErr w:type="spellStart"/>
      <w:r w:rsidRPr="006E59DF">
        <w:rPr>
          <w:rFonts w:ascii="Times New Roman" w:hAnsi="Times New Roman" w:cs="Times New Roman"/>
          <w:lang w:eastAsia="ar-SA"/>
        </w:rPr>
        <w:t>п.г.т</w:t>
      </w:r>
      <w:proofErr w:type="spellEnd"/>
      <w:r w:rsidRPr="006E59DF">
        <w:rPr>
          <w:rFonts w:ascii="Times New Roman" w:hAnsi="Times New Roman" w:cs="Times New Roman"/>
          <w:lang w:eastAsia="ar-SA"/>
        </w:rPr>
        <w:t>.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lastRenderedPageBreak/>
        <w:t>21 резидент</w:t>
      </w:r>
      <w:r w:rsidRPr="006E59DF">
        <w:rPr>
          <w:rFonts w:ascii="Times New Roman" w:hAnsi="Times New Roman" w:cs="Times New Roman"/>
        </w:rPr>
        <w:t xml:space="preserve"> такие как: ООО "</w:t>
      </w:r>
      <w:proofErr w:type="spellStart"/>
      <w:r w:rsidRPr="006E59DF">
        <w:rPr>
          <w:rFonts w:ascii="Times New Roman" w:hAnsi="Times New Roman" w:cs="Times New Roman"/>
        </w:rPr>
        <w:t>Политермо</w:t>
      </w:r>
      <w:proofErr w:type="spellEnd"/>
      <w:r w:rsidRPr="006E59DF">
        <w:rPr>
          <w:rFonts w:ascii="Times New Roman" w:hAnsi="Times New Roman" w:cs="Times New Roman"/>
        </w:rPr>
        <w:t xml:space="preserve">", Горохов Александр Георгиевич, ООО </w:t>
      </w:r>
      <w:proofErr w:type="spellStart"/>
      <w:r w:rsidRPr="006E59DF">
        <w:rPr>
          <w:rFonts w:ascii="Times New Roman" w:hAnsi="Times New Roman" w:cs="Times New Roman"/>
        </w:rPr>
        <w:t>Стил</w:t>
      </w:r>
      <w:proofErr w:type="spellEnd"/>
      <w:r w:rsidRPr="006E59DF">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6E59DF">
        <w:rPr>
          <w:rFonts w:ascii="Times New Roman" w:hAnsi="Times New Roman" w:cs="Times New Roman"/>
        </w:rPr>
        <w:t>Снегиревский</w:t>
      </w:r>
      <w:proofErr w:type="spellEnd"/>
      <w:r w:rsidRPr="006E59DF">
        <w:rPr>
          <w:rFonts w:ascii="Times New Roman" w:hAnsi="Times New Roman" w:cs="Times New Roman"/>
        </w:rPr>
        <w:t xml:space="preserve"> Складской Комплекс", ООО "Эталон", ООО "</w:t>
      </w:r>
      <w:proofErr w:type="spellStart"/>
      <w:r w:rsidRPr="006E59DF">
        <w:rPr>
          <w:rFonts w:ascii="Times New Roman" w:hAnsi="Times New Roman" w:cs="Times New Roman"/>
        </w:rPr>
        <w:t>ЕвроСтройБетон</w:t>
      </w:r>
      <w:proofErr w:type="spellEnd"/>
      <w:r w:rsidRPr="006E59DF">
        <w:rPr>
          <w:rFonts w:ascii="Times New Roman" w:hAnsi="Times New Roman" w:cs="Times New Roman"/>
        </w:rPr>
        <w:t>", ООО "</w:t>
      </w:r>
      <w:proofErr w:type="spellStart"/>
      <w:r w:rsidRPr="006E59DF">
        <w:rPr>
          <w:rFonts w:ascii="Times New Roman" w:hAnsi="Times New Roman" w:cs="Times New Roman"/>
        </w:rPr>
        <w:t>ИнвесТрейдСервис</w:t>
      </w:r>
      <w:proofErr w:type="spellEnd"/>
      <w:r w:rsidRPr="006E59DF">
        <w:rPr>
          <w:rFonts w:ascii="Times New Roman" w:hAnsi="Times New Roman" w:cs="Times New Roman"/>
        </w:rPr>
        <w:t>", ООО "Инвест-ВЧМ", ООО "</w:t>
      </w:r>
      <w:proofErr w:type="spellStart"/>
      <w:r w:rsidRPr="006E59DF">
        <w:rPr>
          <w:rFonts w:ascii="Times New Roman" w:hAnsi="Times New Roman" w:cs="Times New Roman"/>
        </w:rPr>
        <w:t>Инрост</w:t>
      </w:r>
      <w:proofErr w:type="spellEnd"/>
      <w:r w:rsidRPr="006E59DF">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6E59DF">
        <w:rPr>
          <w:rFonts w:ascii="Times New Roman" w:hAnsi="Times New Roman" w:cs="Times New Roman"/>
        </w:rPr>
        <w:t>СпецСплав</w:t>
      </w:r>
      <w:proofErr w:type="spellEnd"/>
      <w:r w:rsidRPr="006E59DF">
        <w:rPr>
          <w:rFonts w:ascii="Times New Roman" w:hAnsi="Times New Roman" w:cs="Times New Roman"/>
        </w:rPr>
        <w:t>", ООО "</w:t>
      </w:r>
      <w:proofErr w:type="spellStart"/>
      <w:r w:rsidRPr="006E59DF">
        <w:rPr>
          <w:rFonts w:ascii="Times New Roman" w:hAnsi="Times New Roman" w:cs="Times New Roman"/>
        </w:rPr>
        <w:t>СтройАльянсГрупп</w:t>
      </w:r>
      <w:proofErr w:type="spellEnd"/>
      <w:r w:rsidRPr="006E59DF">
        <w:rPr>
          <w:rFonts w:ascii="Times New Roman" w:hAnsi="Times New Roman" w:cs="Times New Roman"/>
        </w:rPr>
        <w:t>", ООО "</w:t>
      </w:r>
      <w:proofErr w:type="spellStart"/>
      <w:r w:rsidRPr="006E59DF">
        <w:rPr>
          <w:rFonts w:ascii="Times New Roman" w:hAnsi="Times New Roman" w:cs="Times New Roman"/>
        </w:rPr>
        <w:t>Сферамет</w:t>
      </w:r>
      <w:proofErr w:type="spellEnd"/>
      <w:r w:rsidRPr="006E59DF">
        <w:rPr>
          <w:rFonts w:ascii="Times New Roman" w:hAnsi="Times New Roman" w:cs="Times New Roman"/>
        </w:rPr>
        <w:t>",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городской округ Истра, д. </w:t>
      </w:r>
      <w:proofErr w:type="spellStart"/>
      <w:r w:rsidRPr="006E59DF">
        <w:rPr>
          <w:rFonts w:ascii="Times New Roman" w:hAnsi="Times New Roman" w:cs="Times New Roman"/>
          <w:lang w:eastAsia="ar-SA"/>
        </w:rPr>
        <w:t>Деньково</w:t>
      </w:r>
      <w:proofErr w:type="spellEnd"/>
      <w:r w:rsidRPr="006E59DF">
        <w:rPr>
          <w:rFonts w:ascii="Times New Roman" w:hAnsi="Times New Roman" w:cs="Times New Roman"/>
          <w:lang w:eastAsia="ar-SA"/>
        </w:rPr>
        <w:t>,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Индустриальный парк «</w:t>
      </w:r>
      <w:proofErr w:type="spellStart"/>
      <w:r w:rsidRPr="006E59DF">
        <w:rPr>
          <w:rFonts w:ascii="Times New Roman" w:hAnsi="Times New Roman" w:cs="Times New Roman"/>
          <w:b/>
          <w:lang w:eastAsia="ar-SA"/>
        </w:rPr>
        <w:t>Ориенир</w:t>
      </w:r>
      <w:proofErr w:type="spellEnd"/>
      <w:r w:rsidRPr="006E59DF">
        <w:rPr>
          <w:rFonts w:ascii="Times New Roman" w:hAnsi="Times New Roman" w:cs="Times New Roman"/>
          <w:b/>
          <w:lang w:eastAsia="ar-SA"/>
        </w:rPr>
        <w:t xml:space="preserve">-Запад»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lastRenderedPageBreak/>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9"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0"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
                <w:bCs/>
                <w:sz w:val="20"/>
                <w:szCs w:val="20"/>
              </w:rPr>
              <w:t>Основное мероприятие 02.</w:t>
            </w:r>
            <w:r w:rsidRPr="00E26FA0">
              <w:rPr>
                <w:rFonts w:ascii="Times New Roman" w:hAnsi="Times New Roman" w:cs="Times New Roman"/>
                <w:bCs/>
                <w:sz w:val="20"/>
                <w:szCs w:val="20"/>
              </w:rPr>
              <w:t xml:space="preserve"> Создание многофункциональных индустриальных парков, технологических парков</w:t>
            </w:r>
            <w:r w:rsidR="00DB4BFD">
              <w:rPr>
                <w:rFonts w:ascii="Times New Roman" w:hAnsi="Times New Roman" w:cs="Times New Roman"/>
                <w:bCs/>
                <w:sz w:val="20"/>
                <w:szCs w:val="20"/>
              </w:rPr>
              <w:t>,</w:t>
            </w:r>
            <w:r w:rsidRPr="00CF7CFD">
              <w:rPr>
                <w:rFonts w:ascii="Times New Roman" w:hAnsi="Times New Roman" w:cs="Times New Roman"/>
                <w:bCs/>
                <w:color w:val="FF0000"/>
                <w:sz w:val="20"/>
                <w:szCs w:val="20"/>
              </w:rPr>
              <w:t xml:space="preserve"> </w:t>
            </w:r>
            <w:r w:rsidRPr="00E26FA0">
              <w:rPr>
                <w:rFonts w:ascii="Times New Roman" w:hAnsi="Times New Roman" w:cs="Times New Roman"/>
                <w:bCs/>
                <w:sz w:val="20"/>
                <w:szCs w:val="20"/>
              </w:rPr>
              <w:t>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2.1</w:t>
            </w:r>
          </w:p>
          <w:p w:rsidR="002833E9" w:rsidRPr="00E26FA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2.2</w:t>
            </w:r>
          </w:p>
          <w:p w:rsidR="002833E9" w:rsidRPr="00E26FA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E26FA0">
              <w:rPr>
                <w:rFonts w:ascii="Times New Roman" w:hAnsi="Times New Roman" w:cs="Times New Roman"/>
                <w:bCs/>
                <w:sz w:val="20"/>
                <w:szCs w:val="20"/>
                <w:u w:val="single"/>
              </w:rPr>
              <w:t>Мероприятие 2.3</w:t>
            </w:r>
          </w:p>
          <w:p w:rsidR="002833E9" w:rsidRPr="00E26FA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E26FA0">
              <w:rPr>
                <w:rFonts w:ascii="Times New Roman" w:hAnsi="Times New Roman" w:cs="Times New Roman"/>
                <w:bCs/>
                <w:sz w:val="20"/>
                <w:szCs w:val="20"/>
              </w:rPr>
              <w:t>Создание много</w:t>
            </w:r>
            <w:r w:rsidR="002956C4">
              <w:rPr>
                <w:rFonts w:ascii="Times New Roman" w:hAnsi="Times New Roman" w:cs="Times New Roman"/>
                <w:bCs/>
                <w:sz w:val="20"/>
                <w:szCs w:val="20"/>
              </w:rPr>
              <w:t>функциональных</w:t>
            </w:r>
            <w:r w:rsidRPr="00E26FA0">
              <w:rPr>
                <w:rFonts w:ascii="Times New Roman" w:hAnsi="Times New Roman" w:cs="Times New Roman"/>
                <w:bCs/>
                <w:sz w:val="20"/>
                <w:szCs w:val="20"/>
              </w:rPr>
              <w:t xml:space="preserve">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E26FA0">
              <w:rPr>
                <w:rFonts w:ascii="Times New Roman" w:hAnsi="Times New Roman" w:cs="Times New Roman"/>
                <w:bCs/>
                <w:sz w:val="20"/>
                <w:szCs w:val="20"/>
              </w:rPr>
              <w:t>выставочно</w:t>
            </w:r>
            <w:proofErr w:type="spellEnd"/>
            <w:r w:rsidRPr="00E26FA0">
              <w:rPr>
                <w:rFonts w:ascii="Times New Roman" w:hAnsi="Times New Roman" w:cs="Times New Roman"/>
                <w:bCs/>
                <w:sz w:val="20"/>
                <w:szCs w:val="20"/>
              </w:rPr>
              <w:t>-ярмарочных мероприятиях, форумах, направленных на повышение конкурентоспособности и инвестиционной привлекательности;-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новых рабочих мест за счет проводимых мероприятий </w:t>
            </w:r>
            <w:r w:rsidRPr="002F3450">
              <w:rPr>
                <w:rFonts w:ascii="Times New Roman" w:hAnsi="Times New Roman" w:cs="Times New Roman"/>
                <w:bCs/>
                <w:sz w:val="20"/>
                <w:szCs w:val="20"/>
              </w:rPr>
              <w:lastRenderedPageBreak/>
              <w:t>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lastRenderedPageBreak/>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lastRenderedPageBreak/>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890633" w:rsidRPr="006E59DF" w:rsidRDefault="00890633"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 мероприятие 04.</w:t>
            </w:r>
            <w:r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 w:rsidRPr="006E59DF">
              <w:rPr>
                <w:rFonts w:ascii="Times New Roman" w:hAnsi="Times New Roman"/>
                <w:sz w:val="20"/>
                <w:szCs w:val="20"/>
              </w:rPr>
              <w:t>В пределах средств на обеспечение деятельности</w:t>
            </w:r>
          </w:p>
        </w:tc>
        <w:tc>
          <w:tcPr>
            <w:tcW w:w="1418" w:type="dxa"/>
          </w:tcPr>
          <w:p w:rsidR="00890633" w:rsidRPr="006E59DF" w:rsidRDefault="00890633"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1587" w:type="dxa"/>
            <w:vMerge w:val="restart"/>
          </w:tcPr>
          <w:p w:rsidR="00890633" w:rsidRPr="006E59DF" w:rsidRDefault="00890633"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 xml:space="preserve">Мероприятие 4.1 </w:t>
            </w:r>
            <w:r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890633" w:rsidRPr="006E59DF" w:rsidTr="006F7CC0">
        <w:trPr>
          <w:trHeight w:val="749"/>
        </w:trPr>
        <w:tc>
          <w:tcPr>
            <w:tcW w:w="567"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2.2</w:t>
            </w:r>
          </w:p>
        </w:tc>
        <w:tc>
          <w:tcPr>
            <w:tcW w:w="4253" w:type="dxa"/>
          </w:tcPr>
          <w:p w:rsidR="00890633" w:rsidRPr="006E59DF" w:rsidRDefault="0089063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 в муниципальном образовании Московской области</w:t>
            </w:r>
          </w:p>
        </w:tc>
        <w:tc>
          <w:tcPr>
            <w:tcW w:w="1134" w:type="dxa"/>
          </w:tcPr>
          <w:p w:rsidR="00890633" w:rsidRPr="006E59DF" w:rsidRDefault="00890633" w:rsidP="00102AC3">
            <w:r w:rsidRPr="006E59DF">
              <w:rPr>
                <w:rFonts w:ascii="Times New Roman" w:hAnsi="Times New Roman"/>
                <w:bCs/>
                <w:sz w:val="20"/>
                <w:szCs w:val="20"/>
              </w:rPr>
              <w:t>2020-2024</w:t>
            </w:r>
          </w:p>
        </w:tc>
        <w:tc>
          <w:tcPr>
            <w:tcW w:w="1134"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1276" w:type="dxa"/>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890633" w:rsidRPr="006E59DF" w:rsidRDefault="00890633" w:rsidP="00102AC3">
            <w:r w:rsidRPr="006E59DF">
              <w:rPr>
                <w:rFonts w:ascii="Times New Roman" w:hAnsi="Times New Roman"/>
                <w:sz w:val="20"/>
                <w:szCs w:val="20"/>
              </w:rPr>
              <w:t>В пределах средств на обеспечение деятельности</w:t>
            </w:r>
          </w:p>
        </w:tc>
        <w:tc>
          <w:tcPr>
            <w:tcW w:w="1418" w:type="dxa"/>
          </w:tcPr>
          <w:p w:rsidR="00890633" w:rsidRPr="00B216AB" w:rsidRDefault="00890633" w:rsidP="00102AC3">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890633" w:rsidRPr="006E59DF" w:rsidRDefault="00890633" w:rsidP="00102AC3">
            <w:pPr>
              <w:autoSpaceDE w:val="0"/>
              <w:autoSpaceDN w:val="0"/>
              <w:adjustRightInd w:val="0"/>
              <w:spacing w:after="0" w:line="240" w:lineRule="auto"/>
              <w:rPr>
                <w:rFonts w:ascii="Times New Roman" w:hAnsi="Times New Roman"/>
                <w:sz w:val="20"/>
                <w:szCs w:val="20"/>
              </w:rPr>
            </w:pP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2.3</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102AC3" w:rsidRPr="006E59DF" w:rsidRDefault="00102AC3" w:rsidP="00102AC3">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2.7</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102AC3" w:rsidRPr="006E59DF" w:rsidRDefault="00102AC3" w:rsidP="00102AC3">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102AC3" w:rsidRPr="006E59DF" w:rsidTr="006F7CC0">
        <w:trPr>
          <w:trHeight w:val="749"/>
        </w:trPr>
        <w:tc>
          <w:tcPr>
            <w:tcW w:w="567"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102AC3" w:rsidRPr="006E59DF" w:rsidRDefault="00102AC3" w:rsidP="00102AC3">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102AC3" w:rsidRPr="006E59DF" w:rsidRDefault="00102AC3" w:rsidP="00102AC3">
            <w:r w:rsidRPr="006E59DF">
              <w:rPr>
                <w:rFonts w:ascii="Times New Roman" w:hAnsi="Times New Roman" w:cs="Times New Roman"/>
                <w:sz w:val="20"/>
                <w:szCs w:val="20"/>
              </w:rPr>
              <w:t>2020-2024</w:t>
            </w:r>
          </w:p>
        </w:tc>
        <w:tc>
          <w:tcPr>
            <w:tcW w:w="1134"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1276" w:type="dxa"/>
          </w:tcPr>
          <w:p w:rsidR="00102AC3" w:rsidRPr="006E59DF" w:rsidRDefault="00102AC3" w:rsidP="00102AC3">
            <w:pPr>
              <w:autoSpaceDE w:val="0"/>
              <w:autoSpaceDN w:val="0"/>
              <w:adjustRightInd w:val="0"/>
              <w:spacing w:after="0" w:line="240" w:lineRule="auto"/>
              <w:rPr>
                <w:rFonts w:ascii="Times New Roman" w:hAnsi="Times New Roman"/>
                <w:sz w:val="20"/>
                <w:szCs w:val="20"/>
              </w:rPr>
            </w:pPr>
          </w:p>
        </w:tc>
        <w:tc>
          <w:tcPr>
            <w:tcW w:w="4252" w:type="dxa"/>
            <w:gridSpan w:val="6"/>
          </w:tcPr>
          <w:p w:rsidR="00102AC3" w:rsidRPr="006E59DF" w:rsidRDefault="00102AC3" w:rsidP="00102AC3">
            <w:r w:rsidRPr="006E59DF">
              <w:rPr>
                <w:rFonts w:ascii="Times New Roman" w:hAnsi="Times New Roman"/>
                <w:sz w:val="20"/>
                <w:szCs w:val="20"/>
              </w:rPr>
              <w:t>В пределах средств на обеспечение деятельности</w:t>
            </w:r>
          </w:p>
        </w:tc>
        <w:tc>
          <w:tcPr>
            <w:tcW w:w="1418" w:type="dxa"/>
          </w:tcPr>
          <w:p w:rsidR="00102AC3" w:rsidRPr="006E59DF" w:rsidRDefault="00102AC3" w:rsidP="00102AC3">
            <w:r w:rsidRPr="006E59DF">
              <w:rPr>
                <w:rFonts w:ascii="Times New Roman" w:hAnsi="Times New Roman"/>
                <w:sz w:val="16"/>
                <w:szCs w:val="16"/>
              </w:rPr>
              <w:t>Управление по распоряжению муниципальным имуществом</w:t>
            </w:r>
          </w:p>
        </w:tc>
        <w:tc>
          <w:tcPr>
            <w:tcW w:w="1587" w:type="dxa"/>
          </w:tcPr>
          <w:p w:rsidR="00102AC3" w:rsidRPr="006E59DF" w:rsidRDefault="00102AC3" w:rsidP="00102AC3">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2.13</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val="restart"/>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BA13AD" w:rsidRPr="006E59D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2.14</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Pr="006E59DF"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r>
      <w:tr w:rsidR="00BA13AD" w:rsidRPr="00E5031F" w:rsidTr="006F7CC0">
        <w:trPr>
          <w:trHeight w:val="749"/>
        </w:trPr>
        <w:tc>
          <w:tcPr>
            <w:tcW w:w="567"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2.15</w:t>
            </w:r>
          </w:p>
        </w:tc>
        <w:tc>
          <w:tcPr>
            <w:tcW w:w="4253" w:type="dxa"/>
          </w:tcPr>
          <w:p w:rsidR="00BA13AD" w:rsidRPr="006E59DF" w:rsidRDefault="00BA13AD" w:rsidP="00BA13AD">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BA13AD" w:rsidRPr="006E59DF" w:rsidRDefault="00BA13AD" w:rsidP="00BA13AD">
            <w:r w:rsidRPr="006E59DF">
              <w:rPr>
                <w:rFonts w:ascii="Times New Roman" w:hAnsi="Times New Roman"/>
                <w:bCs/>
                <w:sz w:val="20"/>
                <w:szCs w:val="20"/>
              </w:rPr>
              <w:t>2020-2024</w:t>
            </w:r>
          </w:p>
        </w:tc>
        <w:tc>
          <w:tcPr>
            <w:tcW w:w="1134"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1276" w:type="dxa"/>
          </w:tcPr>
          <w:p w:rsidR="00BA13AD" w:rsidRPr="006E59DF" w:rsidRDefault="00BA13AD" w:rsidP="00BA13AD">
            <w:pPr>
              <w:autoSpaceDE w:val="0"/>
              <w:autoSpaceDN w:val="0"/>
              <w:adjustRightInd w:val="0"/>
              <w:spacing w:after="0" w:line="240" w:lineRule="auto"/>
              <w:rPr>
                <w:rFonts w:ascii="Times New Roman" w:hAnsi="Times New Roman"/>
                <w:sz w:val="20"/>
                <w:szCs w:val="20"/>
              </w:rPr>
            </w:pPr>
          </w:p>
        </w:tc>
        <w:tc>
          <w:tcPr>
            <w:tcW w:w="4252" w:type="dxa"/>
            <w:gridSpan w:val="6"/>
          </w:tcPr>
          <w:p w:rsidR="00BA13AD" w:rsidRDefault="00BA13AD" w:rsidP="00BA13AD">
            <w:r w:rsidRPr="006E59DF">
              <w:rPr>
                <w:rFonts w:ascii="Times New Roman" w:hAnsi="Times New Roman"/>
                <w:sz w:val="20"/>
                <w:szCs w:val="20"/>
              </w:rPr>
              <w:t>В пределах средств на обеспечение деятельности</w:t>
            </w:r>
          </w:p>
        </w:tc>
        <w:tc>
          <w:tcPr>
            <w:tcW w:w="1418" w:type="dxa"/>
          </w:tcPr>
          <w:p w:rsidR="00BA13AD" w:rsidRPr="00B216AB" w:rsidRDefault="00BA13AD" w:rsidP="00BA13AD">
            <w:pPr>
              <w:autoSpaceDE w:val="0"/>
              <w:autoSpaceDN w:val="0"/>
              <w:adjustRightInd w:val="0"/>
              <w:spacing w:after="0" w:line="240" w:lineRule="auto"/>
              <w:rPr>
                <w:rFonts w:ascii="Times New Roman" w:hAnsi="Times New Roman"/>
                <w:sz w:val="16"/>
                <w:szCs w:val="16"/>
              </w:rPr>
            </w:pPr>
            <w:r w:rsidRPr="00B216AB">
              <w:rPr>
                <w:rFonts w:ascii="Times New Roman" w:hAnsi="Times New Roman"/>
                <w:sz w:val="16"/>
                <w:szCs w:val="16"/>
              </w:rPr>
              <w:t>Управление экономического развития и инвестиций</w:t>
            </w:r>
          </w:p>
        </w:tc>
        <w:tc>
          <w:tcPr>
            <w:tcW w:w="1587" w:type="dxa"/>
            <w:vMerge/>
          </w:tcPr>
          <w:p w:rsidR="00BA13AD" w:rsidRPr="00E5031F" w:rsidRDefault="00BA13AD" w:rsidP="00BA13AD">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На сегодняшний день основными барьерами, которые препятствуют развитию субъектов малого и среднего предпринимательства в городском </w:t>
      </w:r>
      <w:r w:rsidRPr="00F736E6">
        <w:rPr>
          <w:rFonts w:ascii="Times New Roman" w:hAnsi="Times New Roman" w:cs="Times New Roman"/>
          <w:sz w:val="24"/>
          <w:szCs w:val="24"/>
        </w:rPr>
        <w:lastRenderedPageBreak/>
        <w:t>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размещение публикаций в средствах массовой информации о мерах, направленных на поддержку малого и среднего предпринимательства, </w:t>
      </w:r>
      <w:r w:rsidRPr="00F736E6">
        <w:rPr>
          <w:rFonts w:ascii="Times New Roman" w:hAnsi="Times New Roman" w:cs="Times New Roman"/>
          <w:sz w:val="24"/>
          <w:szCs w:val="24"/>
          <w:lang w:eastAsia="ru-RU"/>
        </w:rPr>
        <w:lastRenderedPageBreak/>
        <w:t>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средств, включая автомототранспорт, материалов для </w:t>
            </w:r>
            <w:r w:rsidRPr="006E59DF">
              <w:rPr>
                <w:rFonts w:ascii="Times New Roman" w:hAnsi="Times New Roman" w:cs="Times New Roman"/>
                <w:sz w:val="20"/>
                <w:szCs w:val="20"/>
              </w:rPr>
              <w:lastRenderedPageBreak/>
              <w:t>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A9142D">
              <w:rPr>
                <w:rFonts w:ascii="Times New Roman" w:hAnsi="Times New Roman" w:cs="Times New Roman"/>
                <w:b/>
                <w:sz w:val="20"/>
                <w:szCs w:val="20"/>
              </w:rPr>
              <w:t xml:space="preserve">Основное мероприятие </w:t>
            </w:r>
            <w:r w:rsidR="000E702F" w:rsidRPr="00A9142D">
              <w:rPr>
                <w:rFonts w:ascii="Times New Roman" w:hAnsi="Times New Roman" w:cs="Times New Roman"/>
                <w:b/>
                <w:sz w:val="20"/>
                <w:szCs w:val="20"/>
              </w:rPr>
              <w:t>0</w:t>
            </w:r>
            <w:r w:rsidR="00613718" w:rsidRPr="00A9142D">
              <w:rPr>
                <w:rFonts w:ascii="Times New Roman" w:hAnsi="Times New Roman" w:cs="Times New Roman"/>
                <w:b/>
                <w:sz w:val="20"/>
                <w:szCs w:val="20"/>
              </w:rPr>
              <w:t>8</w:t>
            </w:r>
            <w:r w:rsidRPr="00A9142D">
              <w:rPr>
                <w:rFonts w:ascii="Times New Roman" w:hAnsi="Times New Roman" w:cs="Times New Roman"/>
                <w:b/>
                <w:sz w:val="20"/>
                <w:szCs w:val="20"/>
              </w:rPr>
              <w:t>.</w:t>
            </w:r>
          </w:p>
          <w:p w:rsidR="000D6463" w:rsidRPr="002F3450" w:rsidRDefault="00CD2D06"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 xml:space="preserve"> </w:t>
            </w:r>
            <w:r w:rsidR="00613718"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00613718"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A9142D">
              <w:rPr>
                <w:rFonts w:ascii="Times New Roman" w:hAnsi="Times New Roman" w:cs="Times New Roman"/>
                <w:sz w:val="20"/>
                <w:szCs w:val="20"/>
                <w:u w:val="single"/>
              </w:rPr>
              <w:t xml:space="preserve">Мероприятие  </w:t>
            </w:r>
            <w:r w:rsidR="000E702F" w:rsidRPr="00A9142D">
              <w:rPr>
                <w:rFonts w:ascii="Times New Roman" w:hAnsi="Times New Roman" w:cs="Times New Roman"/>
                <w:sz w:val="20"/>
                <w:szCs w:val="20"/>
                <w:u w:val="single"/>
              </w:rPr>
              <w:t>0</w:t>
            </w:r>
            <w:r w:rsidRPr="00A9142D">
              <w:rPr>
                <w:rFonts w:ascii="Times New Roman" w:hAnsi="Times New Roman" w:cs="Times New Roman"/>
                <w:sz w:val="20"/>
                <w:szCs w:val="20"/>
                <w:u w:val="single"/>
              </w:rPr>
              <w:t>8.1.</w:t>
            </w:r>
            <w:proofErr w:type="gramEnd"/>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w:t>
      </w:r>
      <w:r w:rsidR="00C05AA6" w:rsidRPr="00C05AA6">
        <w:rPr>
          <w:rFonts w:ascii="Times New Roman" w:hAnsi="Times New Roman" w:cs="Times New Roman"/>
          <w:b/>
          <w:bCs/>
          <w:sz w:val="28"/>
          <w:szCs w:val="28"/>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w:t>
      </w:r>
      <w:r w:rsidR="00C05AA6" w:rsidRPr="00C05AA6">
        <w:rPr>
          <w:rFonts w:ascii="Times New Roman" w:hAnsi="Times New Roman" w:cs="Times New Roman"/>
          <w:sz w:val="24"/>
          <w:szCs w:val="24"/>
        </w:rPr>
        <w:t>Развитие потребительского рынка и услуг на территории муниципального образования Московской области</w:t>
      </w:r>
      <w:r w:rsidRPr="004846EC">
        <w:rPr>
          <w:rFonts w:ascii="Times New Roman" w:hAnsi="Times New Roman" w:cs="Times New Roman"/>
          <w:sz w:val="24"/>
          <w:szCs w:val="24"/>
        </w:rPr>
        <w:t>»</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Pr="00F54C99">
        <w:rPr>
          <w:rFonts w:ascii="Times New Roman" w:hAnsi="Times New Roman" w:cs="Times New Roman"/>
          <w:b/>
          <w:bCs/>
          <w:sz w:val="24"/>
          <w:szCs w:val="24"/>
        </w:rPr>
        <w:t xml:space="preserve">»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lastRenderedPageBreak/>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proofErr w:type="spellStart"/>
      <w:r w:rsidRPr="0061267E">
        <w:rPr>
          <w:rFonts w:ascii="Times New Roman" w:hAnsi="Times New Roman"/>
          <w:sz w:val="24"/>
          <w:szCs w:val="24"/>
        </w:rPr>
        <w:t>гг</w:t>
      </w:r>
      <w:proofErr w:type="spellEnd"/>
      <w:r w:rsidRPr="0061267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lastRenderedPageBreak/>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w:t>
      </w:r>
      <w:proofErr w:type="spellStart"/>
      <w:r w:rsidRPr="0061267E">
        <w:rPr>
          <w:rFonts w:ascii="Times New Roman" w:hAnsi="Times New Roman"/>
          <w:sz w:val="24"/>
          <w:szCs w:val="24"/>
        </w:rPr>
        <w:t>карантийных</w:t>
      </w:r>
      <w:proofErr w:type="spellEnd"/>
      <w:r w:rsidRPr="0061267E">
        <w:rPr>
          <w:rFonts w:ascii="Times New Roman" w:hAnsi="Times New Roman"/>
          <w:sz w:val="24"/>
          <w:szCs w:val="24"/>
        </w:rPr>
        <w:t xml:space="preserve"> мер на территории </w:t>
      </w:r>
      <w:proofErr w:type="spellStart"/>
      <w:r w:rsidRPr="0061267E">
        <w:rPr>
          <w:rFonts w:ascii="Times New Roman" w:hAnsi="Times New Roman"/>
          <w:sz w:val="24"/>
          <w:szCs w:val="24"/>
        </w:rPr>
        <w:t>г.о</w:t>
      </w:r>
      <w:proofErr w:type="spellEnd"/>
      <w:r w:rsidRPr="0061267E">
        <w:rPr>
          <w:rFonts w:ascii="Times New Roman" w:hAnsi="Times New Roman"/>
          <w:sz w:val="24"/>
          <w:szCs w:val="24"/>
        </w:rPr>
        <w:t xml:space="preserve">.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C05AA6"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C05AA6" w:rsidRPr="0061267E" w:rsidRDefault="00C05AA6" w:rsidP="0061267E">
      <w:pPr>
        <w:widowControl w:val="0"/>
        <w:tabs>
          <w:tab w:val="num" w:pos="1440"/>
          <w:tab w:val="left" w:pos="14884"/>
        </w:tabs>
        <w:spacing w:after="0" w:line="240" w:lineRule="auto"/>
        <w:ind w:right="255" w:firstLine="567"/>
        <w:jc w:val="both"/>
        <w:rPr>
          <w:rFonts w:ascii="Times New Roman" w:hAnsi="Times New Roman"/>
          <w:sz w:val="24"/>
          <w:szCs w:val="24"/>
        </w:rPr>
      </w:pP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w:t>
      </w:r>
      <w:r w:rsidR="00C05AA6" w:rsidRPr="00C05AA6">
        <w:rPr>
          <w:rFonts w:ascii="Times New Roman" w:hAnsi="Times New Roman" w:cs="Times New Roman"/>
          <w:b/>
          <w:bCs/>
          <w:sz w:val="24"/>
          <w:szCs w:val="24"/>
        </w:rPr>
        <w:t>Развитие потребительского рынка и услуг на территории муниципального образования Московской области</w:t>
      </w:r>
      <w:r w:rsidR="0052303C" w:rsidRPr="000A7E3C">
        <w:rPr>
          <w:rFonts w:ascii="Times New Roman" w:hAnsi="Times New Roman" w:cs="Times New Roman"/>
          <w:b/>
          <w:bCs/>
          <w:sz w:val="24"/>
          <w:szCs w:val="24"/>
        </w:rPr>
        <w:t>»</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 xml:space="preserve">Разработка, согласование и утверждение в муниципальном образовании Московской </w:t>
            </w:r>
            <w:r>
              <w:rPr>
                <w:rFonts w:ascii="Times New Roman" w:hAnsi="Times New Roman"/>
                <w:sz w:val="20"/>
                <w:szCs w:val="20"/>
              </w:rPr>
              <w:lastRenderedPageBreak/>
              <w:t>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lastRenderedPageBreak/>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w:t>
            </w:r>
            <w:r w:rsidRPr="00627C1A">
              <w:rPr>
                <w:rFonts w:ascii="Times New Roman" w:hAnsi="Times New Roman"/>
                <w:sz w:val="18"/>
                <w:szCs w:val="18"/>
              </w:rPr>
              <w:lastRenderedPageBreak/>
              <w:t>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844F6A" w:rsidRPr="00167B63" w:rsidTr="0000728A">
        <w:trPr>
          <w:trHeight w:val="602"/>
          <w:jc w:val="center"/>
        </w:trPr>
        <w:tc>
          <w:tcPr>
            <w:tcW w:w="172" w:type="pct"/>
          </w:tcPr>
          <w:p w:rsidR="00844F6A"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844F6A" w:rsidRPr="00393B1D" w:rsidRDefault="00844F6A" w:rsidP="0000728A">
            <w:pPr>
              <w:spacing w:after="0" w:line="240" w:lineRule="auto"/>
              <w:rPr>
                <w:rFonts w:ascii="Times New Roman" w:hAnsi="Times New Roman"/>
                <w:sz w:val="20"/>
                <w:szCs w:val="20"/>
                <w:u w:val="single"/>
              </w:rPr>
            </w:pPr>
            <w:bookmarkStart w:id="3" w:name="_Hlk73549790"/>
            <w:r w:rsidRPr="00393B1D">
              <w:rPr>
                <w:rFonts w:ascii="Times New Roman CYR" w:eastAsiaTheme="minorEastAsia" w:hAnsi="Times New Roman CYR" w:cs="Times New Roman CYR"/>
                <w:sz w:val="20"/>
                <w:szCs w:val="20"/>
                <w:u w:val="single"/>
                <w:lang w:eastAsia="ru-RU"/>
              </w:rPr>
              <w:t>Мероприятие 01.07</w:t>
            </w:r>
            <w:r w:rsidR="00393B1D" w:rsidRPr="00393B1D">
              <w:rPr>
                <w:rFonts w:ascii="Times New Roman CYR" w:eastAsiaTheme="minorEastAsia" w:hAnsi="Times New Roman CYR" w:cs="Times New Roman CYR"/>
                <w:sz w:val="20"/>
                <w:szCs w:val="20"/>
                <w:u w:val="single"/>
                <w:lang w:eastAsia="ru-RU"/>
              </w:rPr>
              <w:t>.</w:t>
            </w:r>
            <w:r w:rsidRPr="00393B1D">
              <w:rPr>
                <w:rFonts w:ascii="Times New Roman CYR" w:eastAsiaTheme="minorEastAsia" w:hAnsi="Times New Roman CYR" w:cs="Times New Roman CYR"/>
                <w:sz w:val="20"/>
                <w:szCs w:val="20"/>
                <w:lang w:eastAsia="ru-RU"/>
              </w:rPr>
              <w:t xml:space="preserve"> Предоставление сельскохозяйственным товаропроизводителям и организациям потребительской кооперации (субъектам малого или среднего </w:t>
            </w:r>
            <w:proofErr w:type="gramStart"/>
            <w:r w:rsidRPr="00393B1D">
              <w:rPr>
                <w:rFonts w:ascii="Times New Roman CYR" w:eastAsiaTheme="minorEastAsia" w:hAnsi="Times New Roman CYR" w:cs="Times New Roman CYR"/>
                <w:sz w:val="20"/>
                <w:szCs w:val="20"/>
                <w:lang w:eastAsia="ru-RU"/>
              </w:rPr>
              <w:t>предпринимательства)  мест</w:t>
            </w:r>
            <w:proofErr w:type="gramEnd"/>
            <w:r w:rsidRPr="00393B1D">
              <w:rPr>
                <w:rFonts w:ascii="Times New Roman CYR" w:eastAsiaTheme="minorEastAsia" w:hAnsi="Times New Roman CYR" w:cs="Times New Roman CYR"/>
                <w:sz w:val="20"/>
                <w:szCs w:val="20"/>
                <w:lang w:eastAsia="ru-RU"/>
              </w:rPr>
              <w:t xml:space="preserve"> для размещения нестационарных торговых объектов без проведения аукционов на льготных условиях или на безвозмездной основе</w:t>
            </w:r>
            <w:bookmarkEnd w:id="3"/>
          </w:p>
        </w:tc>
        <w:tc>
          <w:tcPr>
            <w:tcW w:w="269" w:type="pct"/>
          </w:tcPr>
          <w:p w:rsidR="00844F6A" w:rsidRPr="00393B1D" w:rsidRDefault="00844F6A" w:rsidP="0000728A">
            <w:pPr>
              <w:spacing w:after="0" w:line="240" w:lineRule="auto"/>
              <w:rPr>
                <w:rFonts w:ascii="Times New Roman" w:hAnsi="Times New Roman"/>
                <w:sz w:val="20"/>
                <w:szCs w:val="20"/>
              </w:rPr>
            </w:pPr>
            <w:r w:rsidRPr="00393B1D">
              <w:rPr>
                <w:rFonts w:ascii="Times New Roman" w:hAnsi="Times New Roman"/>
                <w:sz w:val="20"/>
                <w:szCs w:val="20"/>
              </w:rPr>
              <w:t>2021-2024</w:t>
            </w:r>
          </w:p>
        </w:tc>
        <w:tc>
          <w:tcPr>
            <w:tcW w:w="449" w:type="pct"/>
          </w:tcPr>
          <w:p w:rsidR="00844F6A" w:rsidRPr="00393B1D" w:rsidRDefault="00844F6A" w:rsidP="0000728A">
            <w:pPr>
              <w:autoSpaceDE w:val="0"/>
              <w:autoSpaceDN w:val="0"/>
              <w:adjustRightInd w:val="0"/>
              <w:spacing w:after="0" w:line="240" w:lineRule="auto"/>
              <w:jc w:val="center"/>
              <w:rPr>
                <w:rFonts w:ascii="Times New Roman" w:hAnsi="Times New Roman"/>
                <w:sz w:val="20"/>
                <w:szCs w:val="20"/>
              </w:rPr>
            </w:pPr>
            <w:r w:rsidRPr="00393B1D">
              <w:rPr>
                <w:rFonts w:ascii="Times New Roman" w:hAnsi="Times New Roman"/>
                <w:sz w:val="20"/>
                <w:szCs w:val="20"/>
              </w:rPr>
              <w:t>Средства бюджета городского округа Истра</w:t>
            </w:r>
          </w:p>
        </w:tc>
        <w:tc>
          <w:tcPr>
            <w:tcW w:w="2296" w:type="pct"/>
            <w:gridSpan w:val="14"/>
          </w:tcPr>
          <w:p w:rsidR="00844F6A" w:rsidRPr="00393B1D" w:rsidRDefault="00844F6A" w:rsidP="0000728A">
            <w:pPr>
              <w:autoSpaceDE w:val="0"/>
              <w:autoSpaceDN w:val="0"/>
              <w:adjustRightInd w:val="0"/>
              <w:spacing w:after="0" w:line="240" w:lineRule="auto"/>
              <w:jc w:val="center"/>
              <w:rPr>
                <w:rFonts w:ascii="Times New Roman" w:hAnsi="Times New Roman" w:cs="Times New Roman"/>
                <w:sz w:val="20"/>
                <w:szCs w:val="20"/>
              </w:rPr>
            </w:pPr>
            <w:r w:rsidRPr="00393B1D">
              <w:rPr>
                <w:rFonts w:ascii="Times New Roman" w:hAnsi="Times New Roman" w:cs="Times New Roman"/>
                <w:sz w:val="20"/>
                <w:szCs w:val="20"/>
              </w:rPr>
              <w:t xml:space="preserve">В пределах средств на обеспечение деятельности </w:t>
            </w:r>
          </w:p>
        </w:tc>
        <w:tc>
          <w:tcPr>
            <w:tcW w:w="360" w:type="pct"/>
          </w:tcPr>
          <w:p w:rsidR="00844F6A" w:rsidRPr="00605BE5" w:rsidRDefault="00844F6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844F6A" w:rsidRPr="00627C1A" w:rsidRDefault="00522F8E" w:rsidP="0000728A">
            <w:pPr>
              <w:autoSpaceDE w:val="0"/>
              <w:autoSpaceDN w:val="0"/>
              <w:adjustRightInd w:val="0"/>
              <w:spacing w:after="0" w:line="240" w:lineRule="auto"/>
              <w:jc w:val="center"/>
              <w:rPr>
                <w:rFonts w:ascii="Times New Roman" w:hAnsi="Times New Roman"/>
                <w:sz w:val="18"/>
                <w:szCs w:val="18"/>
              </w:rPr>
            </w:pPr>
            <w:r w:rsidRPr="00522F8E">
              <w:rPr>
                <w:rFonts w:ascii="Times New Roman" w:hAnsi="Times New Roman"/>
                <w:sz w:val="18"/>
                <w:szCs w:val="18"/>
              </w:rPr>
              <w:t xml:space="preserve">Оказание содействия   производителям сельскохозяйственной продукции </w:t>
            </w:r>
            <w:proofErr w:type="gramStart"/>
            <w:r w:rsidRPr="00522F8E">
              <w:rPr>
                <w:rFonts w:ascii="Times New Roman" w:hAnsi="Times New Roman"/>
                <w:sz w:val="18"/>
                <w:szCs w:val="18"/>
              </w:rPr>
              <w:t>в  реализации</w:t>
            </w:r>
            <w:proofErr w:type="gramEnd"/>
            <w:r w:rsidRPr="00522F8E">
              <w:rPr>
                <w:rFonts w:ascii="Times New Roman" w:hAnsi="Times New Roman"/>
                <w:sz w:val="18"/>
                <w:szCs w:val="18"/>
              </w:rPr>
              <w:t xml:space="preserve"> с/х продукции собственного производства</w:t>
            </w:r>
          </w:p>
        </w:tc>
      </w:tr>
      <w:tr w:rsidR="0000728A" w:rsidRPr="00167B63" w:rsidTr="0000728A">
        <w:trPr>
          <w:trHeight w:val="1463"/>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844F6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 xml:space="preserve">Содействие увеличению уровня обеспеченности  населения  муниципального образования Московской области  </w:t>
            </w:r>
            <w:r w:rsidRPr="006E59DF">
              <w:rPr>
                <w:rFonts w:ascii="Times New Roman" w:hAnsi="Times New Roman"/>
                <w:sz w:val="20"/>
                <w:szCs w:val="20"/>
              </w:rPr>
              <w:lastRenderedPageBreak/>
              <w:t>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lastRenderedPageBreak/>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1</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2</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3</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00728A" w:rsidRPr="00167B63" w:rsidTr="0000728A">
        <w:trPr>
          <w:trHeight w:val="155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4</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04</w:t>
            </w:r>
          </w:p>
          <w:p w:rsidR="0000728A" w:rsidRDefault="0000728A" w:rsidP="0000728A">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00728A" w:rsidRPr="00167B63" w:rsidTr="0000728A">
        <w:trPr>
          <w:trHeight w:val="27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5</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1.</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844F6A">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2.</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7</w:t>
            </w:r>
          </w:p>
        </w:tc>
        <w:tc>
          <w:tcPr>
            <w:tcW w:w="986" w:type="pct"/>
          </w:tcPr>
          <w:p w:rsidR="0000728A" w:rsidRDefault="0000728A" w:rsidP="0000728A">
            <w:pPr>
              <w:spacing w:after="0" w:line="240" w:lineRule="auto"/>
              <w:rPr>
                <w:rFonts w:ascii="Times New Roman" w:eastAsia="Calibri" w:hAnsi="Times New Roman"/>
                <w:b/>
                <w:sz w:val="20"/>
                <w:szCs w:val="20"/>
              </w:rPr>
            </w:pPr>
            <w:r w:rsidRPr="006E59DF">
              <w:rPr>
                <w:rFonts w:ascii="Times New Roman" w:hAnsi="Times New Roman"/>
                <w:b/>
                <w:sz w:val="20"/>
                <w:szCs w:val="20"/>
              </w:rPr>
              <w:t xml:space="preserve">Основное </w:t>
            </w:r>
            <w:proofErr w:type="gramStart"/>
            <w:r w:rsidRPr="006E59DF">
              <w:rPr>
                <w:rFonts w:ascii="Times New Roman" w:hAnsi="Times New Roman"/>
                <w:b/>
                <w:sz w:val="20"/>
                <w:szCs w:val="20"/>
              </w:rPr>
              <w:t>мероприятие  05</w:t>
            </w:r>
            <w:proofErr w:type="gramEnd"/>
            <w:r w:rsidRPr="006E59DF">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8</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1.</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844F6A">
              <w:rPr>
                <w:rFonts w:ascii="Times New Roman" w:hAnsi="Times New Roman" w:cs="Times New Roman"/>
                <w:sz w:val="20"/>
                <w:szCs w:val="20"/>
              </w:rPr>
              <w:t>9</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2</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Pr="00CC69FF" w:rsidRDefault="0000728A" w:rsidP="0000728A">
            <w:pPr>
              <w:spacing w:after="0" w:line="240" w:lineRule="auto"/>
              <w:rPr>
                <w:rFonts w:ascii="Times New Roman" w:hAnsi="Times New Roman"/>
                <w:sz w:val="18"/>
                <w:szCs w:val="18"/>
              </w:rPr>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1"/>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4622F" w:rsidRDefault="00D4622F">
      <w:r>
        <w:separator/>
      </w:r>
    </w:p>
  </w:endnote>
  <w:endnote w:type="continuationSeparator" w:id="0">
    <w:p w:rsidR="00D4622F" w:rsidRDefault="00D4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Default="0092665B"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92665B" w:rsidRDefault="009266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4622F" w:rsidRDefault="00D4622F">
      <w:r>
        <w:separator/>
      </w:r>
    </w:p>
  </w:footnote>
  <w:footnote w:type="continuationSeparator" w:id="0">
    <w:p w:rsidR="00D4622F" w:rsidRDefault="00D46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Pr="008A4D2C" w:rsidRDefault="0092665B"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65B" w:rsidRPr="008A4D2C" w:rsidRDefault="0092665B"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1E8"/>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06"/>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2FC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02F"/>
    <w:rsid w:val="000E7142"/>
    <w:rsid w:val="000E75E6"/>
    <w:rsid w:val="000E7796"/>
    <w:rsid w:val="000E7B59"/>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AC3"/>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043"/>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E26"/>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6C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92E"/>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B1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0788"/>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649"/>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771AA"/>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2F8E"/>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624"/>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1A6"/>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4CF"/>
    <w:rsid w:val="005A187A"/>
    <w:rsid w:val="005A1B3B"/>
    <w:rsid w:val="005A1D2F"/>
    <w:rsid w:val="005A1FA7"/>
    <w:rsid w:val="005A2389"/>
    <w:rsid w:val="005A26A7"/>
    <w:rsid w:val="005A287F"/>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C61"/>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A91"/>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A97"/>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64A"/>
    <w:rsid w:val="008007A3"/>
    <w:rsid w:val="0080093B"/>
    <w:rsid w:val="00800B7B"/>
    <w:rsid w:val="00800C3E"/>
    <w:rsid w:val="008011A8"/>
    <w:rsid w:val="008012F9"/>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4F6A"/>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57BD3"/>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3931"/>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33"/>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62A"/>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65B"/>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10B"/>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4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09B"/>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CC"/>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599"/>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0D71"/>
    <w:rsid w:val="00A910CB"/>
    <w:rsid w:val="00A9142D"/>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0D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5465"/>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BAA"/>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9F9"/>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3AD"/>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51E"/>
    <w:rsid w:val="00C046B7"/>
    <w:rsid w:val="00C0523D"/>
    <w:rsid w:val="00C05AA6"/>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2CE3"/>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C23"/>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925"/>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2D06"/>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CFD"/>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22F"/>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BFD"/>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6FA0"/>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4FB8"/>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4FBD"/>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75A0741"/>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consultantplus://offline/ref=8313B3A72FBE4CB563D4C694B5232597982C5CD58792A27BB37D4E48063A8B7F46F5B1E69887BBB4h3f1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20801F220B5C05F9A101A54CEF8ADC1952C99F10EC58C581C026D3BAD238A873C5D5605EC4C299382C326A1C07r454L"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yperlink" Target="http://pandia.ru/text/category/zarabotnaya_pla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hyperlink" Target="https://www.gisip.ru" TargetMode="External"/><Relationship Id="rId19" Type="http://schemas.openxmlformats.org/officeDocument/2006/relationships/hyperlink" Target="http://www.pandia.ru/text/category/vidi_deyatelmznost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A9BB3-973C-4D2B-B6B8-D1DD6D78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18534</Words>
  <Characters>105645</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cp:revision>
  <cp:lastPrinted>2021-03-10T11:51:00Z</cp:lastPrinted>
  <dcterms:created xsi:type="dcterms:W3CDTF">2021-06-29T15:21:00Z</dcterms:created>
  <dcterms:modified xsi:type="dcterms:W3CDTF">2021-06-29T15:21:00Z</dcterms:modified>
</cp:coreProperties>
</file>