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главы городского 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1E1391" w:rsidP="001E1391">
      <w:pPr>
        <w:jc w:val="right"/>
        <w:rPr>
          <w:b/>
          <w:sz w:val="22"/>
          <w:szCs w:val="22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08546A">
        <w:rPr>
          <w:sz w:val="20"/>
          <w:szCs w:val="20"/>
        </w:rPr>
        <w:t xml:space="preserve">12.04.2021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08546A">
        <w:rPr>
          <w:sz w:val="20"/>
          <w:szCs w:val="20"/>
        </w:rPr>
        <w:t>171/4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D05BB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189665,96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D05BB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49228,33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50298,50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9F62CE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D05BB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380024,92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D05BB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97743,33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102262,50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50C3A" w:rsidRPr="0036108F" w:rsidRDefault="007B4C90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</w:rPr>
      </w:pPr>
      <w:r w:rsidRPr="0014063F">
        <w:rPr>
          <w:b/>
          <w:sz w:val="20"/>
          <w:szCs w:val="20"/>
        </w:rPr>
        <w:t xml:space="preserve">2. </w:t>
      </w:r>
      <w:r w:rsidR="00E50C3A" w:rsidRPr="00E50C3A">
        <w:rPr>
          <w:b/>
          <w:bCs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</w:t>
      </w:r>
      <w:r w:rsidRPr="0014063F">
        <w:rPr>
          <w:sz w:val="20"/>
          <w:szCs w:val="20"/>
        </w:rPr>
        <w:lastRenderedPageBreak/>
        <w:t xml:space="preserve">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Важнейшим фактором, определяющим необходимость разработки и реализации программы, является социальная значимость повышения качества жизни и </w:t>
      </w:r>
      <w:r w:rsidRPr="0014063F">
        <w:rPr>
          <w:sz w:val="20"/>
          <w:szCs w:val="20"/>
        </w:rPr>
        <w:lastRenderedPageBreak/>
        <w:t>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E50C3A" w:rsidRDefault="006D541C" w:rsidP="00E50C3A">
      <w:pPr>
        <w:tabs>
          <w:tab w:val="left" w:pos="330"/>
        </w:tabs>
        <w:spacing w:after="1" w:line="220" w:lineRule="atLeast"/>
        <w:ind w:left="-426" w:hanging="283"/>
        <w:outlineLvl w:val="1"/>
        <w:rPr>
          <w:b/>
          <w:bCs/>
          <w:sz w:val="20"/>
          <w:szCs w:val="20"/>
        </w:rPr>
      </w:pPr>
      <w:r w:rsidRPr="0014063F">
        <w:rPr>
          <w:b/>
          <w:sz w:val="20"/>
          <w:szCs w:val="20"/>
        </w:rPr>
        <w:t xml:space="preserve">2.1 </w:t>
      </w:r>
      <w:r w:rsidR="00E50C3A" w:rsidRPr="00E50C3A">
        <w:rPr>
          <w:b/>
          <w:bCs/>
          <w:sz w:val="20"/>
          <w:szCs w:val="20"/>
        </w:rPr>
        <w:t>Прогноз развития социальной сферы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Pr="00E50C3A">
        <w:rPr>
          <w:b/>
          <w:sz w:val="20"/>
          <w:szCs w:val="20"/>
        </w:rPr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E50C3A" w:rsidRPr="00E50C3A">
        <w:rPr>
          <w:b/>
          <w:bCs/>
          <w:sz w:val="20"/>
          <w:szCs w:val="20"/>
        </w:rPr>
        <w:t>Перечень подпрограмм и краткое их описание</w:t>
      </w:r>
      <w:r w:rsidR="00AF1C0D" w:rsidRPr="0014063F">
        <w:rPr>
          <w:b/>
          <w:sz w:val="20"/>
          <w:szCs w:val="20"/>
        </w:rPr>
        <w:t>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2.3 </w:t>
      </w:r>
      <w:r w:rsidR="00E50C3A" w:rsidRPr="00E50C3A">
        <w:rPr>
          <w:b/>
          <w:sz w:val="20"/>
          <w:szCs w:val="20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Указ Президента РФ от25.04.2019 №193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12,5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17,5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 пожилого возраста и инвалидов, получивших предоставляемые учреждением услуги социального </w:t>
            </w:r>
            <w:r w:rsidRPr="0014063F">
              <w:rPr>
                <w:sz w:val="20"/>
                <w:szCs w:val="20"/>
              </w:rPr>
              <w:lastRenderedPageBreak/>
              <w:t>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Доступная среда -Доступность для инвалидов и других маломобильных групп населения муниципальных приоритетных объектов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424314" w:rsidRPr="0014063F" w:rsidRDefault="00424314" w:rsidP="0042431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Доля детей-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</w:t>
            </w:r>
            <w:proofErr w:type="gramStart"/>
            <w:r w:rsidRPr="0014063F">
              <w:rPr>
                <w:rFonts w:ascii="Times New Roman" w:hAnsi="Times New Roman" w:cs="Times New Roman"/>
              </w:rPr>
              <w:t>детей-инвалидов школьного возраста</w:t>
            </w:r>
            <w:proofErr w:type="gramEnd"/>
            <w:r w:rsidRPr="0014063F">
              <w:rPr>
                <w:rFonts w:ascii="Times New Roman" w:hAnsi="Times New Roman" w:cs="Times New Roman"/>
              </w:rPr>
              <w:t xml:space="preserve"> которым созданы условия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4325,8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0305D4" w:rsidRDefault="000305D4" w:rsidP="000305D4">
      <w:pPr>
        <w:rPr>
          <w:b/>
        </w:rPr>
      </w:pPr>
      <w:r w:rsidRPr="0014063F">
        <w:rPr>
          <w:b/>
          <w:sz w:val="20"/>
          <w:szCs w:val="20"/>
        </w:rPr>
        <w:t>4.</w:t>
      </w:r>
      <w:r w:rsidR="006C6A27" w:rsidRPr="0014063F">
        <w:rPr>
          <w:b/>
          <w:sz w:val="20"/>
          <w:szCs w:val="20"/>
        </w:rPr>
        <w:t xml:space="preserve">Методика расчета значений </w:t>
      </w:r>
      <w:r w:rsidRPr="0014063F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14063F">
        <w:rPr>
          <w:b/>
          <w:sz w:val="20"/>
          <w:szCs w:val="20"/>
        </w:rPr>
        <w:t>рограммы «Социальная защита</w:t>
      </w:r>
      <w:r w:rsidR="006C6A27" w:rsidRPr="000305D4">
        <w:rPr>
          <w:b/>
        </w:rPr>
        <w:t xml:space="preserve">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</w:t>
            </w:r>
            <w:r w:rsidRPr="00CA3279">
              <w:rPr>
                <w:sz w:val="20"/>
                <w:szCs w:val="20"/>
              </w:rPr>
              <w:lastRenderedPageBreak/>
              <w:t xml:space="preserve">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 xml:space="preserve">по организации предоставления гражданам Российской Федерации, имеющим место жительства в Московской области, субсидий </w:t>
            </w:r>
            <w:r w:rsidRPr="00CA3279">
              <w:rPr>
                <w:sz w:val="20"/>
                <w:szCs w:val="20"/>
              </w:rPr>
              <w:br/>
              <w:t>на оплату жилого помещения и коммунальных услуг»,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Pr="004F7ED6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Доступная среда - Доступность для инвалидов и других маломобильных групп населения муниципальных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</w:t>
            </w:r>
            <w:r w:rsidRPr="00CA3279">
              <w:rPr>
                <w:rFonts w:ascii="Times New Roman" w:hAnsi="Times New Roman" w:cs="Times New Roman"/>
              </w:rPr>
              <w:lastRenderedPageBreak/>
              <w:t>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</w:t>
            </w:r>
            <w:r w:rsidRPr="00CA3279">
              <w:rPr>
                <w:sz w:val="20"/>
                <w:szCs w:val="20"/>
              </w:rPr>
              <w:lastRenderedPageBreak/>
              <w:t>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4" w:history="1">
              <w:r w:rsidRPr="00CA3279">
                <w:rPr>
                  <w:rFonts w:ascii="Times New Roman" w:hAnsi="Times New Roman" w:cs="Times New Roman"/>
                </w:rPr>
                <w:t>форме № ОО-1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</w:t>
            </w:r>
            <w:r w:rsidR="000258E6" w:rsidRPr="000258E6">
              <w:rPr>
                <w:rFonts w:ascii="Times New Roman" w:hAnsi="Times New Roman" w:cs="Times New Roman"/>
              </w:rPr>
              <w:t>Росстата от 05.08.2020 № 431«Об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</w:t>
            </w:r>
            <w:r w:rsidRPr="00CA3279">
              <w:rPr>
                <w:rFonts w:ascii="Times New Roman" w:hAnsi="Times New Roman" w:cs="Times New Roman"/>
              </w:rPr>
              <w:t>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Qш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Количество пострадавших со смертельным исходом в расчете на 1000 работающих (Коэффициент частоты)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Кчсм</w:t>
            </w:r>
            <w:proofErr w:type="spellEnd"/>
            <w:r w:rsidRPr="00CA3279">
              <w:rPr>
                <w:sz w:val="20"/>
                <w:szCs w:val="20"/>
              </w:rPr>
              <w:t xml:space="preserve"> = Ксм / </w:t>
            </w:r>
            <w:proofErr w:type="spellStart"/>
            <w:r w:rsidRPr="00CA3279">
              <w:rPr>
                <w:sz w:val="20"/>
                <w:szCs w:val="20"/>
              </w:rPr>
              <w:t>Ксп</w:t>
            </w:r>
            <w:proofErr w:type="spellEnd"/>
            <w:r w:rsidRPr="00CA3279">
              <w:rPr>
                <w:sz w:val="20"/>
                <w:szCs w:val="20"/>
              </w:rPr>
              <w:t xml:space="preserve"> x 1000,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Кчсм</w:t>
            </w:r>
            <w:proofErr w:type="spellEnd"/>
            <w:r w:rsidRPr="00CA3279">
              <w:rPr>
                <w:sz w:val="20"/>
                <w:szCs w:val="20"/>
              </w:rPr>
              <w:t xml:space="preserve"> - коэффициент частоты случаев смертельного травматизма;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Ксм - количество пострадавших со смертельным исходом;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lastRenderedPageBreak/>
              <w:t>Ксп</w:t>
            </w:r>
            <w:proofErr w:type="spellEnd"/>
            <w:r w:rsidRPr="00CA3279">
              <w:t xml:space="preserve"> – </w:t>
            </w:r>
            <w:r w:rsidRPr="00CA3279">
              <w:rPr>
                <w:rFonts w:ascii="Times New Roman" w:hAnsi="Times New Roman" w:cs="Times New Roman"/>
              </w:rPr>
              <w:t xml:space="preserve">число работников, занятых в экономике муниципального образования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E50C3A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270A4F">
              <w:rPr>
                <w:sz w:val="18"/>
                <w:szCs w:val="18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  <w:r>
              <w:rPr>
                <w:sz w:val="18"/>
                <w:szCs w:val="18"/>
              </w:rPr>
              <w:t>.</w:t>
            </w:r>
            <w:r w:rsidRPr="00CA3279">
              <w:rPr>
                <w:rFonts w:eastAsia="Calibri"/>
                <w:sz w:val="20"/>
                <w:szCs w:val="20"/>
              </w:rPr>
              <w:t xml:space="preserve"> </w:t>
            </w:r>
            <w:r w:rsidR="00CA3279" w:rsidRPr="00CA3279">
              <w:rPr>
                <w:rFonts w:eastAsia="Calibri"/>
                <w:sz w:val="20"/>
                <w:szCs w:val="20"/>
              </w:rPr>
              <w:t xml:space="preserve">Источник информации: извещения работодателей (зарегистрированных и осуществляющих свою деятельность на территории муниципального образования) о </w:t>
            </w:r>
            <w:r w:rsidR="00CA3279" w:rsidRPr="00CA3279">
              <w:rPr>
                <w:rFonts w:eastAsia="Calibri"/>
                <w:sz w:val="20"/>
                <w:szCs w:val="20"/>
              </w:rPr>
              <w:lastRenderedPageBreak/>
              <w:t xml:space="preserve">происшедшем смертельном несчастном случае, направленные в орган муниципального образования в соответствии с требованием статьи 228.1 Трудового кодекса Российской Федерации. 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7" o:title=""/>
                </v:shape>
                <o:OLEObject Type="Embed" ProgID="Equation.3" ShapeID="_x0000_i1025" DrawAspect="Content" ObjectID="_1680331206" r:id="rId18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 xml:space="preserve">Источником значений показателя является отчетность структурных </w:t>
            </w:r>
            <w:r w:rsidRPr="00CA3279">
              <w:rPr>
                <w:rFonts w:eastAsia="Calibri"/>
                <w:sz w:val="20"/>
                <w:szCs w:val="20"/>
              </w:rPr>
              <w:lastRenderedPageBreak/>
              <w:t>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9" o:title=""/>
                </v:shape>
                <o:OLEObject Type="Embed" ProgID="Equation.3" ShapeID="_x0000_i1026" DrawAspect="Content" ObjectID="_1680331207" r:id="rId20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1" o:title=""/>
                </v:shape>
                <o:OLEObject Type="Embed" ProgID="Equation.3" ShapeID="_x0000_i1027" DrawAspect="Content" ObjectID="_1680331208" r:id="rId22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lastRenderedPageBreak/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>оказана  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</w:r>
            <w:r w:rsidRPr="002610E3">
              <w:rPr>
                <w:sz w:val="20"/>
                <w:szCs w:val="20"/>
              </w:rPr>
              <w:lastRenderedPageBreak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8B0AA0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315726" w:rsidRDefault="00315726" w:rsidP="00315726">
            <w:pPr>
              <w:rPr>
                <w:b/>
                <w:bCs/>
                <w:sz w:val="20"/>
                <w:szCs w:val="20"/>
              </w:rPr>
            </w:pPr>
          </w:p>
          <w:p w:rsidR="00D52E17" w:rsidRPr="0014063F" w:rsidRDefault="00315726" w:rsidP="003157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8B0AA0" w:rsidRPr="0014063F">
              <w:rPr>
                <w:b/>
                <w:bCs/>
                <w:sz w:val="20"/>
                <w:szCs w:val="20"/>
              </w:rPr>
              <w:t xml:space="preserve">Паспорт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CA027C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CA027C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CA027C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315726" w:rsidRPr="000135BA" w:rsidTr="00CA027C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71383,98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74752,40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76338,60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78865,50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301340,48</w:t>
            </w:r>
          </w:p>
        </w:tc>
      </w:tr>
      <w:tr w:rsidR="00315726" w:rsidRPr="000135BA" w:rsidTr="00CA027C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bookmarkStart w:id="1" w:name="_Hlk498508414"/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24991,96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112553,96</w:t>
            </w:r>
          </w:p>
        </w:tc>
      </w:tr>
      <w:tr w:rsidR="00315726" w:rsidRPr="000135BA" w:rsidTr="00CA027C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15726" w:rsidRPr="000135BA" w:rsidTr="00CA027C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35392,02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34884,40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34971,60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36038,50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141286,52</w:t>
            </w:r>
          </w:p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5726" w:rsidRPr="000135BA" w:rsidTr="00CA027C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11000,00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</w:tr>
      <w:bookmarkEnd w:id="1"/>
    </w:tbl>
    <w:p w:rsidR="00315726" w:rsidRDefault="00315726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4063F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CB05A3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38078C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082221" w:rsidRDefault="0014063F" w:rsidP="00082221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03.02</w:t>
            </w:r>
          </w:p>
          <w:p w:rsidR="0014063F" w:rsidRPr="00082221" w:rsidRDefault="0014063F" w:rsidP="0008222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38078C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078C"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082221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  <w:r w:rsidR="00931F25">
              <w:rPr>
                <w:rFonts w:eastAsia="Calibri"/>
                <w:sz w:val="20"/>
                <w:szCs w:val="20"/>
                <w:lang w:eastAsia="en-US"/>
              </w:rPr>
              <w:t>, служба протокола и 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58B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694274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14063F"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694274" w:rsidRDefault="0014063F" w:rsidP="006942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 xml:space="preserve">Мероприятие </w:t>
            </w:r>
            <w:r w:rsidR="00694274" w:rsidRPr="00694274">
              <w:rPr>
                <w:b/>
                <w:bCs/>
                <w:color w:val="000000"/>
                <w:sz w:val="20"/>
                <w:szCs w:val="20"/>
              </w:rPr>
              <w:t>19.01</w:t>
            </w:r>
          </w:p>
          <w:p w:rsidR="0014063F" w:rsidRPr="0014063F" w:rsidRDefault="0014063F" w:rsidP="006942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694274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14063F"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120315,48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72665,52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5F1659"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119107,52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28824,40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71607,52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59" w:rsidRDefault="005F1659" w:rsidP="005F16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14063F" w:rsidRPr="0014063F" w:rsidRDefault="0014063F" w:rsidP="005F165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1058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1058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="0014063F"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D3403B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474"/>
      </w:tblGrid>
      <w:tr w:rsidR="0016453B" w:rsidRPr="0014063F" w:rsidTr="00315726">
        <w:trPr>
          <w:trHeight w:val="406"/>
        </w:trPr>
        <w:tc>
          <w:tcPr>
            <w:tcW w:w="14474" w:type="dxa"/>
            <w:shd w:val="clear" w:color="auto" w:fill="auto"/>
            <w:vAlign w:val="center"/>
            <w:hideMark/>
          </w:tcPr>
          <w:p w:rsidR="0016453B" w:rsidRPr="00315726" w:rsidRDefault="00315726" w:rsidP="008E0E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Паспорт</w:t>
            </w:r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="005E0996"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="005E0996"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tbl>
      <w:tblPr>
        <w:tblW w:w="14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701"/>
        <w:gridCol w:w="2027"/>
        <w:gridCol w:w="1315"/>
        <w:gridCol w:w="1316"/>
        <w:gridCol w:w="1316"/>
        <w:gridCol w:w="1316"/>
        <w:gridCol w:w="1316"/>
        <w:gridCol w:w="1316"/>
      </w:tblGrid>
      <w:tr w:rsidR="00315726" w:rsidRPr="000135BA" w:rsidTr="00CA027C">
        <w:trPr>
          <w:trHeight w:val="563"/>
        </w:trPr>
        <w:tc>
          <w:tcPr>
            <w:tcW w:w="2467" w:type="dxa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vAlign w:val="center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15726" w:rsidRPr="000135BA" w:rsidTr="00CA027C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5" w:type="dxa"/>
            <w:gridSpan w:val="6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315726" w:rsidRPr="000135BA" w:rsidTr="00CA027C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9A3A8C" w:rsidRDefault="00315726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315726" w:rsidRPr="000135BA" w:rsidTr="00CA027C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3543,93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FF1ADA" w:rsidRDefault="00315726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12498,59</w:t>
            </w:r>
          </w:p>
        </w:tc>
      </w:tr>
      <w:tr w:rsidR="00315726" w:rsidRPr="000135BA" w:rsidTr="00CA027C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609,00</w:t>
            </w:r>
          </w:p>
        </w:tc>
      </w:tr>
      <w:tr w:rsidR="00315726" w:rsidRPr="000135BA" w:rsidTr="00CA027C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15726" w:rsidRPr="000135BA" w:rsidTr="00CA027C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5726" w:rsidRPr="009A3A8C" w:rsidRDefault="00315726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3543,93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A47112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A47112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11889,59</w:t>
            </w:r>
          </w:p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5726" w:rsidRPr="000135BA" w:rsidTr="00CA027C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right w:val="single" w:sz="4" w:space="0" w:color="auto"/>
            </w:tcBorders>
            <w:shd w:val="clear" w:color="auto" w:fill="auto"/>
          </w:tcPr>
          <w:p w:rsidR="00315726" w:rsidRPr="00FF1ADA" w:rsidRDefault="00315726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726" w:rsidRPr="0014063F" w:rsidRDefault="00315726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5726" w:rsidRPr="0014063F" w:rsidRDefault="00315726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315726" w:rsidRDefault="00315726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lastRenderedPageBreak/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12498,59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3543,93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11595,66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C217A" w:rsidP="00A5443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 w:rsidR="00B7586B">
              <w:rPr>
                <w:rFonts w:ascii="Times New Roman" w:hAnsi="Times New Roman" w:cs="Times New Roman"/>
                <w:b/>
              </w:rPr>
              <w:t>02.01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lastRenderedPageBreak/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3344,93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CA7FFD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1293,93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5202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7586B" w:rsidP="00B7586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BC217A" w:rsidRPr="008805E5" w:rsidRDefault="008805E5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B7586B" w:rsidRPr="00F73B67" w:rsidRDefault="00B7586B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2714C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714CB" w:rsidRPr="00B7586B" w:rsidRDefault="002714CB" w:rsidP="002714C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</w:t>
            </w:r>
            <w:r w:rsidR="00F26BA3">
              <w:rPr>
                <w:rFonts w:ascii="Times New Roman" w:hAnsi="Times New Roman" w:cs="Times New Roman"/>
                <w:b/>
              </w:rPr>
              <w:t>4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8544,66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225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225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246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</w:t>
            </w:r>
            <w:r w:rsidR="0033522C"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="0033522C"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132861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2861" w:rsidRPr="00F73B67" w:rsidRDefault="00132861" w:rsidP="0013286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8544,66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5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85"/>
      </w:tblGrid>
      <w:tr w:rsidR="00EF39FC" w:rsidRPr="0014063F" w:rsidTr="00683742">
        <w:trPr>
          <w:gridAfter w:val="1"/>
          <w:wAfter w:w="85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9A3A8C" w:rsidRDefault="00683742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FF1ADA" w:rsidRDefault="00683742" w:rsidP="0068374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3742" w:rsidRPr="009A3A8C" w:rsidRDefault="00683742" w:rsidP="00683742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A47112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A47112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742" w:rsidRPr="000135BA" w:rsidTr="006837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683742" w:rsidRPr="00FF1ADA" w:rsidRDefault="00683742" w:rsidP="00683742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742" w:rsidRPr="0014063F" w:rsidRDefault="00683742" w:rsidP="00683742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3742" w:rsidRPr="0014063F" w:rsidRDefault="00683742" w:rsidP="006837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</w:tr>
    </w:tbl>
    <w:p w:rsidR="00683742" w:rsidRDefault="00683742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lastRenderedPageBreak/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</w:t>
            </w:r>
            <w:r w:rsidRPr="00A414DC">
              <w:rPr>
                <w:rFonts w:ascii="Times New Roman" w:hAnsi="Times New Roman" w:cs="Times New Roman"/>
              </w:rPr>
              <w:lastRenderedPageBreak/>
              <w:t>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образованием, ЦБ, образовательные </w:t>
            </w:r>
            <w:r>
              <w:rPr>
                <w:rFonts w:ascii="Times New Roman" w:hAnsi="Times New Roman" w:cs="Times New Roman"/>
              </w:rPr>
              <w:lastRenderedPageBreak/>
              <w:t>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4089,50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A61F0A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51262,35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14472,50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9256,50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31989,85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4089,50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10333,50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A90FA3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3444,5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A61F0A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10333,50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1F0A">
              <w:rPr>
                <w:rFonts w:ascii="Times New Roman" w:hAnsi="Times New Roman" w:cs="Times New Roman"/>
              </w:rPr>
              <w:t>3444,5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</w:t>
            </w:r>
            <w:r w:rsidRPr="00A414DC">
              <w:rPr>
                <w:rFonts w:ascii="Times New Roman" w:hAnsi="Times New Roman" w:cs="Times New Roman"/>
              </w:rPr>
              <w:lastRenderedPageBreak/>
              <w:t>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3690</w:t>
            </w:r>
            <w:r w:rsidR="00A90F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1230</w:t>
            </w:r>
            <w:r w:rsidR="00A90F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 xml:space="preserve">Средства бюджета </w:t>
            </w:r>
            <w:r w:rsidRPr="00A414DC">
              <w:rPr>
                <w:rFonts w:ascii="Times New Roman" w:hAnsi="Times New Roman" w:cs="Times New Roman"/>
              </w:rPr>
              <w:lastRenderedPageBreak/>
              <w:t>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90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5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67"/>
        <w:gridCol w:w="1701"/>
        <w:gridCol w:w="2495"/>
        <w:gridCol w:w="1315"/>
        <w:gridCol w:w="1316"/>
        <w:gridCol w:w="1316"/>
        <w:gridCol w:w="1316"/>
        <w:gridCol w:w="1316"/>
        <w:gridCol w:w="1232"/>
        <w:gridCol w:w="90"/>
      </w:tblGrid>
      <w:tr w:rsidR="00AD03A0" w:rsidRPr="0014063F" w:rsidTr="00AE0096">
        <w:trPr>
          <w:gridAfter w:val="1"/>
          <w:wAfter w:w="90" w:type="dxa"/>
          <w:trHeight w:val="406"/>
        </w:trPr>
        <w:tc>
          <w:tcPr>
            <w:tcW w:w="144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E0096" w:rsidRDefault="00AE0096" w:rsidP="008E0E8D">
            <w:pPr>
              <w:rPr>
                <w:b/>
                <w:sz w:val="20"/>
                <w:szCs w:val="20"/>
              </w:rPr>
            </w:pPr>
          </w:p>
          <w:p w:rsidR="00AE0096" w:rsidRPr="00203E71" w:rsidRDefault="00AE0096" w:rsidP="008E0E8D">
            <w:pPr>
              <w:rPr>
                <w:b/>
                <w:sz w:val="20"/>
                <w:szCs w:val="20"/>
              </w:rPr>
            </w:pP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67" w:type="dxa"/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9"/>
            <w:vAlign w:val="center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7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9A3A8C" w:rsidRDefault="00F16018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F1ADA" w:rsidRDefault="00F16018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F16018" w:rsidRPr="00FF1ADA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F16018" w:rsidRDefault="00F16018" w:rsidP="00F160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A47112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6018" w:rsidRPr="009A3A8C" w:rsidRDefault="00F16018" w:rsidP="00F16018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16018" w:rsidRPr="0014063F" w:rsidTr="00AE00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F16018" w:rsidRPr="00FF1ADA" w:rsidRDefault="00F16018" w:rsidP="00F16018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18" w:rsidRPr="0014063F" w:rsidRDefault="00F16018" w:rsidP="00F160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18" w:rsidRPr="0014063F" w:rsidRDefault="00F16018" w:rsidP="00F16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6018" w:rsidRDefault="00F16018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</w:t>
            </w:r>
            <w:r w:rsidRPr="00C47D8D">
              <w:rPr>
                <w:sz w:val="20"/>
                <w:szCs w:val="20"/>
              </w:rPr>
              <w:lastRenderedPageBreak/>
              <w:t>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Default="002303ED" w:rsidP="002303ED">
      <w:pPr>
        <w:spacing w:line="240" w:lineRule="atLeast"/>
        <w:jc w:val="both"/>
        <w:rPr>
          <w:b/>
          <w:bCs/>
          <w:sz w:val="20"/>
          <w:szCs w:val="20"/>
        </w:rPr>
      </w:pPr>
    </w:p>
    <w:p w:rsidR="002303ED" w:rsidRPr="00966462" w:rsidRDefault="002303ED" w:rsidP="002303ED">
      <w:pPr>
        <w:spacing w:line="240" w:lineRule="atLeast"/>
        <w:jc w:val="both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9 </w:t>
      </w:r>
      <w:r w:rsidRPr="005E0996">
        <w:rPr>
          <w:b/>
          <w:bCs/>
          <w:sz w:val="20"/>
          <w:szCs w:val="20"/>
        </w:rPr>
        <w:t>.Паспорт</w:t>
      </w:r>
      <w:proofErr w:type="gramEnd"/>
      <w:r w:rsidRPr="005E0996">
        <w:rPr>
          <w:b/>
          <w:bCs/>
          <w:sz w:val="20"/>
          <w:szCs w:val="20"/>
        </w:rPr>
        <w:t xml:space="preserve"> </w:t>
      </w:r>
      <w:r w:rsidRPr="005E0996">
        <w:rPr>
          <w:b/>
          <w:sz w:val="20"/>
          <w:szCs w:val="20"/>
        </w:rPr>
        <w:t xml:space="preserve">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tbl>
      <w:tblPr>
        <w:tblW w:w="1456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703"/>
        <w:gridCol w:w="2496"/>
        <w:gridCol w:w="1315"/>
        <w:gridCol w:w="1316"/>
        <w:gridCol w:w="1316"/>
        <w:gridCol w:w="1316"/>
        <w:gridCol w:w="1316"/>
        <w:gridCol w:w="1317"/>
      </w:tblGrid>
      <w:tr w:rsidR="002303ED" w:rsidRPr="00FF1ADA" w:rsidTr="00CA027C">
        <w:trPr>
          <w:trHeight w:val="563"/>
        </w:trPr>
        <w:tc>
          <w:tcPr>
            <w:tcW w:w="2467" w:type="dxa"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Муниципальный заказчик        </w:t>
            </w:r>
            <w:r w:rsidRPr="00FF1ADA">
              <w:rPr>
                <w:sz w:val="22"/>
                <w:szCs w:val="22"/>
              </w:rPr>
              <w:br/>
              <w:t xml:space="preserve">подпрограммы                    </w:t>
            </w:r>
          </w:p>
        </w:tc>
        <w:tc>
          <w:tcPr>
            <w:tcW w:w="12092" w:type="dxa"/>
            <w:gridSpan w:val="8"/>
            <w:vAlign w:val="center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2303ED" w:rsidRPr="00FF1ADA" w:rsidTr="00CA027C">
        <w:trPr>
          <w:trHeight w:val="455"/>
        </w:trPr>
        <w:tc>
          <w:tcPr>
            <w:tcW w:w="2467" w:type="dxa"/>
            <w:vMerge w:val="restart"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Источники финансирования подпрограммы по годам реализации и</w:t>
            </w:r>
            <w:r w:rsidRPr="00FF1ADA">
              <w:rPr>
                <w:sz w:val="22"/>
                <w:szCs w:val="22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Главный      </w:t>
            </w:r>
            <w:r w:rsidRPr="00FF1ADA">
              <w:rPr>
                <w:sz w:val="22"/>
                <w:szCs w:val="22"/>
              </w:rPr>
              <w:br/>
              <w:t>распорядитель</w:t>
            </w:r>
            <w:r w:rsidRPr="00FF1ADA">
              <w:rPr>
                <w:sz w:val="22"/>
                <w:szCs w:val="22"/>
              </w:rPr>
              <w:br/>
              <w:t xml:space="preserve">бюджетных    </w:t>
            </w:r>
            <w:r w:rsidRPr="00FF1ADA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24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Источник      </w:t>
            </w:r>
            <w:r w:rsidRPr="00FF1ADA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896" w:type="dxa"/>
            <w:gridSpan w:val="6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Расходы (тыс. рублей)</w:t>
            </w:r>
          </w:p>
        </w:tc>
      </w:tr>
      <w:tr w:rsidR="002303ED" w:rsidRPr="00FF1ADA" w:rsidTr="00CA027C">
        <w:trPr>
          <w:trHeight w:val="88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2020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2021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2022 год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2023 год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9A3A8C" w:rsidRDefault="002303ED" w:rsidP="00CA027C">
            <w:pPr>
              <w:jc w:val="center"/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2024 год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F1ADA" w:rsidRDefault="002303ED" w:rsidP="00CA027C">
            <w:pPr>
              <w:pStyle w:val="ConsPlusCell"/>
              <w:jc w:val="center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Итого</w:t>
            </w:r>
          </w:p>
        </w:tc>
      </w:tr>
      <w:tr w:rsidR="002303ED" w:rsidRPr="0014063F" w:rsidTr="00CA027C">
        <w:trPr>
          <w:trHeight w:val="507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Всего:</w:t>
            </w:r>
          </w:p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CA02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CA02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CA02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F16018" w:rsidRDefault="002303ED" w:rsidP="00CA02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F16018" w:rsidRDefault="002303ED" w:rsidP="00CA02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018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CA027C">
        <w:trPr>
          <w:trHeight w:val="729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CA027C">
        <w:trPr>
          <w:trHeight w:val="983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CA027C">
        <w:trPr>
          <w:trHeight w:val="745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03ED" w:rsidRPr="009A3A8C" w:rsidRDefault="002303ED" w:rsidP="00CA027C">
            <w:pPr>
              <w:rPr>
                <w:sz w:val="22"/>
                <w:szCs w:val="22"/>
              </w:rPr>
            </w:pPr>
            <w:r w:rsidRPr="009A3A8C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303ED" w:rsidRPr="0014063F" w:rsidTr="00CA027C">
        <w:trPr>
          <w:trHeight w:val="491"/>
        </w:trPr>
        <w:tc>
          <w:tcPr>
            <w:tcW w:w="2467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right w:val="single" w:sz="4" w:space="0" w:color="auto"/>
            </w:tcBorders>
            <w:shd w:val="clear" w:color="auto" w:fill="auto"/>
          </w:tcPr>
          <w:p w:rsidR="002303ED" w:rsidRPr="00FF1ADA" w:rsidRDefault="002303ED" w:rsidP="00CA027C">
            <w:pPr>
              <w:pStyle w:val="ConsPlusCell"/>
              <w:rPr>
                <w:sz w:val="22"/>
                <w:szCs w:val="22"/>
              </w:rPr>
            </w:pPr>
            <w:r w:rsidRPr="00FF1AD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ED" w:rsidRPr="0014063F" w:rsidRDefault="002303ED" w:rsidP="00CA027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03ED" w:rsidRPr="0014063F" w:rsidRDefault="002303ED" w:rsidP="00CA02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303ED" w:rsidRDefault="002303ED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</w:t>
            </w:r>
            <w:r w:rsidRPr="00966462">
              <w:rPr>
                <w:sz w:val="20"/>
                <w:szCs w:val="20"/>
              </w:rPr>
              <w:lastRenderedPageBreak/>
              <w:t>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lastRenderedPageBreak/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r w:rsidR="00254D27">
              <w:rPr>
                <w:sz w:val="20"/>
                <w:szCs w:val="20"/>
              </w:rPr>
              <w:t>поддержка граждан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254D27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  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proofErr w:type="gramEnd"/>
            <w:r w:rsidR="004669A4">
              <w:rPr>
                <w:sz w:val="20"/>
                <w:szCs w:val="20"/>
              </w:rPr>
              <w:t>112404,00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  <w:r w:rsidR="004669A4" w:rsidRPr="00E07A33">
              <w:rPr>
                <w:sz w:val="20"/>
                <w:szCs w:val="20"/>
              </w:rPr>
              <w:br/>
              <w:t xml:space="preserve">2020 год – </w:t>
            </w:r>
            <w:r w:rsidR="004669A4">
              <w:rPr>
                <w:sz w:val="20"/>
                <w:szCs w:val="20"/>
              </w:rPr>
              <w:t>24842,00</w:t>
            </w:r>
            <w:r w:rsidR="004669A4"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lastRenderedPageBreak/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5604,00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63 017,00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 xml:space="preserve">2021 год – 0,00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72665,52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17374,40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5D058D">
              <w:rPr>
                <w:sz w:val="20"/>
                <w:szCs w:val="20"/>
              </w:rPr>
              <w:t xml:space="preserve">Всего:     </w:t>
            </w:r>
            <w:r w:rsidR="00484DA0">
              <w:rPr>
                <w:sz w:val="20"/>
                <w:szCs w:val="20"/>
              </w:rPr>
              <w:t>11889,59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484DA0">
              <w:rPr>
                <w:sz w:val="20"/>
                <w:szCs w:val="20"/>
              </w:rPr>
              <w:t>3543,93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3460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9B2D3C" w:rsidRPr="009B2D3C" w:rsidRDefault="009B2D3C" w:rsidP="00B53E75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 w:rsidRPr="009B2D3C">
        <w:rPr>
          <w:b/>
          <w:bCs/>
          <w:color w:val="333333"/>
        </w:rPr>
        <w:t>Порядок взаимодействия ответственного за выполнение мероприятия подпрограммы с муниципальным заказчиком</w:t>
      </w:r>
      <w:r>
        <w:rPr>
          <w:b/>
          <w:bCs/>
          <w:color w:val="333333"/>
        </w:rPr>
        <w:t xml:space="preserve"> </w:t>
      </w:r>
      <w:r w:rsidRPr="009B2D3C">
        <w:rPr>
          <w:b/>
          <w:bCs/>
          <w:color w:val="333333"/>
        </w:rPr>
        <w:t>муниципальной программы «</w:t>
      </w:r>
      <w:r>
        <w:rPr>
          <w:b/>
          <w:bCs/>
          <w:color w:val="333333"/>
        </w:rPr>
        <w:t>Социальная защита населения</w:t>
      </w:r>
      <w:r w:rsidRPr="009B2D3C">
        <w:rPr>
          <w:b/>
          <w:bCs/>
          <w:color w:val="333333"/>
        </w:rPr>
        <w:t>».</w:t>
      </w:r>
    </w:p>
    <w:p w:rsidR="00254D27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Муниципальным заказчиком муниципальной программы «</w:t>
      </w:r>
      <w:r w:rsidRPr="009B2D3C">
        <w:rPr>
          <w:bCs/>
          <w:color w:val="333333"/>
        </w:rPr>
        <w:t>Социальная защита населения</w:t>
      </w:r>
      <w:r w:rsidRPr="009B2D3C">
        <w:rPr>
          <w:color w:val="333333"/>
        </w:rPr>
        <w:t>» на 2020-2024 годы в городском округе Истра (далее – муниципальная программа) (подпрограммы) явля</w:t>
      </w:r>
      <w:r>
        <w:rPr>
          <w:color w:val="333333"/>
        </w:rPr>
        <w:t>ю</w:t>
      </w:r>
      <w:r w:rsidRPr="009B2D3C">
        <w:rPr>
          <w:color w:val="333333"/>
        </w:rPr>
        <w:t>тся</w:t>
      </w:r>
      <w:r>
        <w:rPr>
          <w:color w:val="333333"/>
        </w:rPr>
        <w:t xml:space="preserve">: </w:t>
      </w:r>
      <w:r w:rsidRPr="009B2D3C">
        <w:t>Отдел реализации социальных программ (</w:t>
      </w:r>
      <w:proofErr w:type="spellStart"/>
      <w:r w:rsidRPr="009B2D3C">
        <w:t>п.п</w:t>
      </w:r>
      <w:proofErr w:type="spellEnd"/>
      <w:r w:rsidRPr="009B2D3C">
        <w:t>. 4.1, 4.2, 4.9), Управление образованием (</w:t>
      </w:r>
      <w:proofErr w:type="spellStart"/>
      <w:r w:rsidRPr="009B2D3C">
        <w:t>п.п</w:t>
      </w:r>
      <w:proofErr w:type="spellEnd"/>
      <w:r w:rsidRPr="009B2D3C">
        <w:t xml:space="preserve"> 4.3), Управление экономического развития и инвестиций  (</w:t>
      </w:r>
      <w:proofErr w:type="spellStart"/>
      <w:r w:rsidRPr="009B2D3C">
        <w:t>п.п</w:t>
      </w:r>
      <w:proofErr w:type="spellEnd"/>
      <w:r w:rsidRPr="009B2D3C">
        <w:t xml:space="preserve"> 4.8) </w:t>
      </w:r>
      <w:r w:rsidRPr="009B2D3C">
        <w:rPr>
          <w:color w:val="333333"/>
        </w:rPr>
        <w:t xml:space="preserve"> администрации городского округа Истра</w:t>
      </w:r>
      <w:r w:rsidR="00254D27">
        <w:rPr>
          <w:color w:val="333333"/>
        </w:rPr>
        <w:t>.</w:t>
      </w:r>
    </w:p>
    <w:p w:rsidR="00F35A71" w:rsidRDefault="009B2D3C" w:rsidP="00B53E75">
      <w:pPr>
        <w:shd w:val="clear" w:color="auto" w:fill="FFFFFF"/>
        <w:ind w:firstLine="708"/>
        <w:jc w:val="both"/>
        <w:rPr>
          <w:color w:val="333333"/>
        </w:rPr>
      </w:pPr>
      <w:r w:rsidRPr="009B2D3C">
        <w:rPr>
          <w:color w:val="333333"/>
        </w:rPr>
        <w:t>Ответственными за выполнение мероприятий муниципальной программы и подпрограмм являются</w:t>
      </w:r>
      <w:r>
        <w:rPr>
          <w:color w:val="333333"/>
        </w:rPr>
        <w:t xml:space="preserve"> структурные подразделения администрации городского округа </w:t>
      </w:r>
      <w:r w:rsidR="00B53E75">
        <w:rPr>
          <w:color w:val="333333"/>
        </w:rPr>
        <w:t>Истра, которые</w:t>
      </w:r>
      <w:r>
        <w:rPr>
          <w:color w:val="333333"/>
        </w:rPr>
        <w:t xml:space="preserve"> несут </w:t>
      </w:r>
      <w:r w:rsidR="00254D27">
        <w:rPr>
          <w:color w:val="333333"/>
        </w:rPr>
        <w:t>ответственность</w:t>
      </w:r>
      <w:r>
        <w:rPr>
          <w:color w:val="333333"/>
        </w:rPr>
        <w:t xml:space="preserve"> за выполнение мероприятий в </w:t>
      </w:r>
      <w:r w:rsidR="00254D27">
        <w:rPr>
          <w:color w:val="333333"/>
        </w:rPr>
        <w:t>соответствии</w:t>
      </w:r>
      <w:r>
        <w:rPr>
          <w:color w:val="333333"/>
        </w:rPr>
        <w:t xml:space="preserve"> с </w:t>
      </w:r>
      <w:r w:rsidR="00B53E75">
        <w:rPr>
          <w:color w:val="333333"/>
        </w:rPr>
        <w:t>поставленными целями</w:t>
      </w:r>
      <w:r>
        <w:rPr>
          <w:color w:val="333333"/>
        </w:rPr>
        <w:t xml:space="preserve"> и задачами</w:t>
      </w:r>
      <w:r w:rsidR="00254D27">
        <w:rPr>
          <w:color w:val="333333"/>
        </w:rPr>
        <w:t>, а так же</w:t>
      </w:r>
      <w:r>
        <w:rPr>
          <w:color w:val="333333"/>
        </w:rPr>
        <w:t xml:space="preserve"> </w:t>
      </w:r>
      <w:r w:rsidRPr="009B2D3C">
        <w:rPr>
          <w:color w:val="333333"/>
        </w:rPr>
        <w:t>обеспеч</w:t>
      </w:r>
      <w:r w:rsidR="00254D27">
        <w:rPr>
          <w:color w:val="333333"/>
        </w:rPr>
        <w:t>ивают</w:t>
      </w:r>
      <w:r w:rsidRPr="009B2D3C">
        <w:rPr>
          <w:color w:val="333333"/>
        </w:rPr>
        <w:t xml:space="preserve"> достижени</w:t>
      </w:r>
      <w:r w:rsidR="00254D27">
        <w:rPr>
          <w:color w:val="333333"/>
        </w:rPr>
        <w:t>е</w:t>
      </w:r>
      <w:r w:rsidRPr="009B2D3C">
        <w:rPr>
          <w:color w:val="333333"/>
        </w:rPr>
        <w:t xml:space="preserve"> показателей реализации мероприятий муниципальной программы</w:t>
      </w:r>
      <w:r w:rsidR="00D160C6">
        <w:rPr>
          <w:color w:val="333333"/>
        </w:rPr>
        <w:t xml:space="preserve"> в соответствии с </w:t>
      </w:r>
      <w:r w:rsidR="00240E83" w:rsidRPr="00167B63">
        <w:t xml:space="preserve">постановлением администрации </w:t>
      </w:r>
      <w:r w:rsidR="00240E83">
        <w:t>г</w:t>
      </w:r>
      <w:r w:rsidR="00240E83" w:rsidRPr="00167B63">
        <w:t xml:space="preserve">ородского округа Истра № </w:t>
      </w:r>
      <w:r w:rsidR="00240E83">
        <w:t>1904</w:t>
      </w:r>
      <w:r w:rsidR="00240E83" w:rsidRPr="00167B63">
        <w:t xml:space="preserve">/4 от </w:t>
      </w:r>
      <w:r w:rsidR="00240E83">
        <w:t>17</w:t>
      </w:r>
      <w:r w:rsidR="00240E83" w:rsidRPr="00167B63">
        <w:t>.04.2018 «Об утверждении</w:t>
      </w:r>
      <w:r w:rsidR="00240E83">
        <w:t xml:space="preserve"> новой редакции </w:t>
      </w:r>
      <w:r w:rsidR="00240E83" w:rsidRPr="00167B63">
        <w:t>порядка разработки, реализации и оценки эффективности муниципальных программ городского округа Истра».</w:t>
      </w:r>
    </w:p>
    <w:p w:rsidR="00254D27" w:rsidRPr="00254D27" w:rsidRDefault="00254D27" w:rsidP="00B53E7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</w:p>
    <w:p w:rsidR="004669A4" w:rsidRPr="00A77CD9" w:rsidRDefault="004669A4" w:rsidP="00B53E75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  <w:r w:rsidR="00B53E75">
        <w:rPr>
          <w:b/>
          <w:bCs/>
        </w:rPr>
        <w:t>.</w:t>
      </w:r>
    </w:p>
    <w:p w:rsidR="004669A4" w:rsidRDefault="004669A4" w:rsidP="00B53E75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3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82B" w:rsidRDefault="009A482B" w:rsidP="000F5D92">
      <w:r>
        <w:separator/>
      </w:r>
    </w:p>
  </w:endnote>
  <w:endnote w:type="continuationSeparator" w:id="0">
    <w:p w:rsidR="009A482B" w:rsidRDefault="009A482B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82B" w:rsidRDefault="009A482B" w:rsidP="000F5D92">
      <w:r>
        <w:separator/>
      </w:r>
    </w:p>
  </w:footnote>
  <w:footnote w:type="continuationSeparator" w:id="0">
    <w:p w:rsidR="009A482B" w:rsidRDefault="009A482B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258E6"/>
    <w:rsid w:val="00025D3E"/>
    <w:rsid w:val="000270C0"/>
    <w:rsid w:val="000303E5"/>
    <w:rsid w:val="000305D4"/>
    <w:rsid w:val="000305E3"/>
    <w:rsid w:val="0003761D"/>
    <w:rsid w:val="00041147"/>
    <w:rsid w:val="00070B01"/>
    <w:rsid w:val="00077A20"/>
    <w:rsid w:val="00082221"/>
    <w:rsid w:val="0008546A"/>
    <w:rsid w:val="000B2BD3"/>
    <w:rsid w:val="000C742A"/>
    <w:rsid w:val="000F3F44"/>
    <w:rsid w:val="000F5D92"/>
    <w:rsid w:val="0010358E"/>
    <w:rsid w:val="00113277"/>
    <w:rsid w:val="001150BE"/>
    <w:rsid w:val="00122D31"/>
    <w:rsid w:val="00132861"/>
    <w:rsid w:val="0014063F"/>
    <w:rsid w:val="0014530D"/>
    <w:rsid w:val="00151833"/>
    <w:rsid w:val="0016311C"/>
    <w:rsid w:val="0016453B"/>
    <w:rsid w:val="00166883"/>
    <w:rsid w:val="00181827"/>
    <w:rsid w:val="001A1F3B"/>
    <w:rsid w:val="001C7A77"/>
    <w:rsid w:val="001E1391"/>
    <w:rsid w:val="00203E71"/>
    <w:rsid w:val="002147AF"/>
    <w:rsid w:val="002207EC"/>
    <w:rsid w:val="00222F6B"/>
    <w:rsid w:val="00227FB0"/>
    <w:rsid w:val="002303ED"/>
    <w:rsid w:val="00230FC4"/>
    <w:rsid w:val="00232BF2"/>
    <w:rsid w:val="00240E83"/>
    <w:rsid w:val="00254D27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4AEC"/>
    <w:rsid w:val="002D7DE3"/>
    <w:rsid w:val="002E4284"/>
    <w:rsid w:val="002F4270"/>
    <w:rsid w:val="002F648B"/>
    <w:rsid w:val="00312E25"/>
    <w:rsid w:val="00315726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F58"/>
    <w:rsid w:val="003A6B1F"/>
    <w:rsid w:val="003B33D5"/>
    <w:rsid w:val="003C433E"/>
    <w:rsid w:val="003C5FF5"/>
    <w:rsid w:val="003E0539"/>
    <w:rsid w:val="003E49ED"/>
    <w:rsid w:val="003E7824"/>
    <w:rsid w:val="003F0ECB"/>
    <w:rsid w:val="00404E21"/>
    <w:rsid w:val="00420A0B"/>
    <w:rsid w:val="00424314"/>
    <w:rsid w:val="00426679"/>
    <w:rsid w:val="0043789E"/>
    <w:rsid w:val="004527F7"/>
    <w:rsid w:val="00456105"/>
    <w:rsid w:val="004609A0"/>
    <w:rsid w:val="004669A4"/>
    <w:rsid w:val="004700AB"/>
    <w:rsid w:val="00473E0F"/>
    <w:rsid w:val="00477FF4"/>
    <w:rsid w:val="00484DA0"/>
    <w:rsid w:val="004A1D75"/>
    <w:rsid w:val="004B52F8"/>
    <w:rsid w:val="004C6A8C"/>
    <w:rsid w:val="004E6792"/>
    <w:rsid w:val="004F155A"/>
    <w:rsid w:val="004F7ED6"/>
    <w:rsid w:val="00500186"/>
    <w:rsid w:val="0050617E"/>
    <w:rsid w:val="00514875"/>
    <w:rsid w:val="005202C3"/>
    <w:rsid w:val="00521E9A"/>
    <w:rsid w:val="00523E61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4956"/>
    <w:rsid w:val="005E0996"/>
    <w:rsid w:val="005E2A0E"/>
    <w:rsid w:val="005F1659"/>
    <w:rsid w:val="005F572E"/>
    <w:rsid w:val="00600576"/>
    <w:rsid w:val="006173B6"/>
    <w:rsid w:val="006311A4"/>
    <w:rsid w:val="00654F0A"/>
    <w:rsid w:val="00662F43"/>
    <w:rsid w:val="00683742"/>
    <w:rsid w:val="00694274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46CE5"/>
    <w:rsid w:val="007669FB"/>
    <w:rsid w:val="00772CEB"/>
    <w:rsid w:val="00782FA4"/>
    <w:rsid w:val="00784BF7"/>
    <w:rsid w:val="00793010"/>
    <w:rsid w:val="007B0EDA"/>
    <w:rsid w:val="007B27A0"/>
    <w:rsid w:val="007B4C90"/>
    <w:rsid w:val="007C5845"/>
    <w:rsid w:val="007D4EF0"/>
    <w:rsid w:val="007D6EB3"/>
    <w:rsid w:val="007F2C74"/>
    <w:rsid w:val="00810D5D"/>
    <w:rsid w:val="0081368F"/>
    <w:rsid w:val="008230AB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31F25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3A8C"/>
    <w:rsid w:val="009A482B"/>
    <w:rsid w:val="009A576F"/>
    <w:rsid w:val="009B2D3C"/>
    <w:rsid w:val="009C12CC"/>
    <w:rsid w:val="009C5C62"/>
    <w:rsid w:val="009C6F0F"/>
    <w:rsid w:val="009C7117"/>
    <w:rsid w:val="009D05BB"/>
    <w:rsid w:val="009D3C25"/>
    <w:rsid w:val="009F62CE"/>
    <w:rsid w:val="00A15158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7B6F"/>
    <w:rsid w:val="00A90FA3"/>
    <w:rsid w:val="00A95907"/>
    <w:rsid w:val="00AA0482"/>
    <w:rsid w:val="00AA32F8"/>
    <w:rsid w:val="00AB158F"/>
    <w:rsid w:val="00AB325D"/>
    <w:rsid w:val="00AD03A0"/>
    <w:rsid w:val="00AE0096"/>
    <w:rsid w:val="00AF1C0D"/>
    <w:rsid w:val="00AF2D77"/>
    <w:rsid w:val="00B02CAF"/>
    <w:rsid w:val="00B274EC"/>
    <w:rsid w:val="00B422DC"/>
    <w:rsid w:val="00B42D6A"/>
    <w:rsid w:val="00B53059"/>
    <w:rsid w:val="00B53E75"/>
    <w:rsid w:val="00B54A32"/>
    <w:rsid w:val="00B67571"/>
    <w:rsid w:val="00B67E18"/>
    <w:rsid w:val="00B7586B"/>
    <w:rsid w:val="00B83DF6"/>
    <w:rsid w:val="00B96F5B"/>
    <w:rsid w:val="00B974C7"/>
    <w:rsid w:val="00BB688A"/>
    <w:rsid w:val="00BB6AE5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A7FFD"/>
    <w:rsid w:val="00CB05A3"/>
    <w:rsid w:val="00CE0CFB"/>
    <w:rsid w:val="00CF3541"/>
    <w:rsid w:val="00D0179C"/>
    <w:rsid w:val="00D01EC1"/>
    <w:rsid w:val="00D160C6"/>
    <w:rsid w:val="00D4071B"/>
    <w:rsid w:val="00D41D9A"/>
    <w:rsid w:val="00D51910"/>
    <w:rsid w:val="00D52A86"/>
    <w:rsid w:val="00D52E17"/>
    <w:rsid w:val="00D55B6F"/>
    <w:rsid w:val="00D829CD"/>
    <w:rsid w:val="00D87602"/>
    <w:rsid w:val="00DB2F3F"/>
    <w:rsid w:val="00DB4B91"/>
    <w:rsid w:val="00E02B86"/>
    <w:rsid w:val="00E07A33"/>
    <w:rsid w:val="00E276C5"/>
    <w:rsid w:val="00E50C3A"/>
    <w:rsid w:val="00E60E1D"/>
    <w:rsid w:val="00E67917"/>
    <w:rsid w:val="00E85C18"/>
    <w:rsid w:val="00E86507"/>
    <w:rsid w:val="00E91D28"/>
    <w:rsid w:val="00E949D9"/>
    <w:rsid w:val="00EA67F0"/>
    <w:rsid w:val="00EB2ED3"/>
    <w:rsid w:val="00ED0CB3"/>
    <w:rsid w:val="00ED1E52"/>
    <w:rsid w:val="00EF39FC"/>
    <w:rsid w:val="00EF458B"/>
    <w:rsid w:val="00F00605"/>
    <w:rsid w:val="00F013ED"/>
    <w:rsid w:val="00F107B4"/>
    <w:rsid w:val="00F16018"/>
    <w:rsid w:val="00F26BA3"/>
    <w:rsid w:val="00F3074A"/>
    <w:rsid w:val="00F35A71"/>
    <w:rsid w:val="00F35C9C"/>
    <w:rsid w:val="00F473E7"/>
    <w:rsid w:val="00F568DF"/>
    <w:rsid w:val="00F73A31"/>
    <w:rsid w:val="00F73B67"/>
    <w:rsid w:val="00F86359"/>
    <w:rsid w:val="00FB10A8"/>
    <w:rsid w:val="00FB355E"/>
    <w:rsid w:val="00FC697C"/>
    <w:rsid w:val="00FD2843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52B2C20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3702885D36EB061D0F8413EB00684362A930B7214F16893A90ECBC0156B050B45D7EB9378D7D6A2L8OCK" TargetMode="External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F76E2-C34E-47D5-89FE-4A058D7B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45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36</cp:revision>
  <cp:lastPrinted>2021-04-06T12:44:00Z</cp:lastPrinted>
  <dcterms:created xsi:type="dcterms:W3CDTF">2021-01-13T08:43:00Z</dcterms:created>
  <dcterms:modified xsi:type="dcterms:W3CDTF">2021-04-19T06:54:00Z</dcterms:modified>
</cp:coreProperties>
</file>